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700" w:lineRule="exact"/>
        <w:rPr>
          <w:rFonts w:ascii="宋体" w:hAnsi="宋体" w:cs="宋体"/>
          <w:b/>
          <w:bCs/>
          <w:sz w:val="36"/>
          <w:szCs w:val="36"/>
        </w:rPr>
      </w:pPr>
      <w:r>
        <w:rPr>
          <w:highlight w:val="none"/>
        </w:rPr>
        <w:t xml:space="preserve"> </w:t>
      </w:r>
      <w:r/>
    </w:p>
    <w:p>
      <w:pPr>
        <w:pStyle w:val="898"/>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jc w:val="center"/>
        <w:spacing w:line="360" w:lineRule="auto"/>
        <w:rPr>
          <w:rFonts w:hint="eastAsia" w:ascii="Arial" w:hAnsi="Arial" w:cs="Arial"/>
          <w:b/>
          <w:color w:val="000000"/>
          <w:sz w:val="32"/>
          <w:szCs w:val="32"/>
          <w:highlight w:val="none"/>
          <w:lang w:val="en-US" w:eastAsia="zh-CN"/>
        </w:rPr>
        <w:outlineLvl w:val="0"/>
      </w:pPr>
      <w:r>
        <w:rPr>
          <w:rFonts w:hint="eastAsia" w:ascii="Arial" w:hAnsi="Arial" w:cs="Arial"/>
          <w:b/>
          <w:color w:val="000000"/>
          <w:sz w:val="32"/>
          <w:szCs w:val="32"/>
          <w:highlight w:val="none"/>
          <w:lang w:val="en-US" w:eastAsia="zh-CN"/>
        </w:rPr>
        <w:t xml:space="preserve">            </w:t>
      </w:r>
      <w:r/>
    </w:p>
    <w:p>
      <w:pPr>
        <w:jc w:val="center"/>
        <w:spacing w:line="360" w:lineRule="auto"/>
        <w:rPr>
          <w:rFonts w:hint="eastAsia" w:ascii="Arial" w:hAnsi="Arial" w:cs="Arial"/>
          <w:b/>
          <w:color w:val="000000"/>
          <w:sz w:val="32"/>
          <w:szCs w:val="32"/>
          <w:highlight w:val="none"/>
          <w:lang w:val="en-US" w:eastAsia="zh-CN"/>
        </w:rPr>
        <w:outlineLvl w:val="0"/>
      </w:pPr>
      <w:r>
        <w:rPr>
          <w:rFonts w:hint="eastAsia" w:ascii="Arial" w:hAnsi="Arial" w:cs="Arial"/>
          <w:b/>
          <w:color w:val="000000"/>
          <w:sz w:val="32"/>
          <w:szCs w:val="32"/>
          <w:highlight w:val="none"/>
          <w:lang w:val="en-US" w:eastAsia="zh-CN"/>
        </w:rPr>
      </w:r>
      <w:r/>
    </w:p>
    <w:p>
      <w:pPr>
        <w:jc w:val="center"/>
        <w:spacing w:line="360" w:lineRule="auto"/>
        <w:rPr>
          <w:rFonts w:hint="eastAsia" w:ascii="Arial" w:hAnsi="Arial" w:cs="Arial"/>
          <w:b/>
          <w:color w:val="000000"/>
          <w:sz w:val="32"/>
          <w:szCs w:val="32"/>
          <w:highlight w:val="none"/>
          <w:lang w:val="en-US" w:eastAsia="zh-CN"/>
        </w:rPr>
        <w:outlineLvl w:val="0"/>
      </w:pPr>
      <w:r>
        <w:rPr>
          <w:rFonts w:hint="eastAsia" w:ascii="Arial" w:hAnsi="Arial" w:cs="Arial"/>
          <w:b/>
          <w:color w:val="000000"/>
          <w:sz w:val="32"/>
          <w:szCs w:val="32"/>
          <w:highlight w:val="none"/>
          <w:lang w:val="en-US" w:eastAsia="zh-CN"/>
        </w:rPr>
      </w:r>
      <w:r/>
    </w:p>
    <w:p>
      <w:pPr>
        <w:jc w:val="center"/>
        <w:spacing w:line="360" w:lineRule="auto"/>
        <w:rPr>
          <w:rFonts w:hint="eastAsia" w:ascii="宋体" w:eastAsia="宋体"/>
          <w:b/>
          <w:sz w:val="40"/>
          <w:szCs w:val="40"/>
          <w:lang w:eastAsia="zh-CN"/>
        </w:rPr>
        <w:outlineLvl w:val="0"/>
      </w:pPr>
      <w:r>
        <w:rPr>
          <w:rFonts w:hint="eastAsia" w:ascii="Arial" w:hAnsi="Arial" w:cs="Arial"/>
          <w:b/>
          <w:color w:val="000000"/>
          <w:sz w:val="32"/>
          <w:szCs w:val="32"/>
          <w:highlight w:val="none"/>
          <w:lang w:val="en-US" w:eastAsia="zh-CN"/>
        </w:rPr>
        <w:t xml:space="preserve">        </w:t>
      </w: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盐城市大丰中医院消毒供应中心设备购置项目</w:t>
      </w:r>
      <w:r/>
    </w:p>
    <w:p>
      <w:pPr>
        <w:pStyle w:val="898"/>
        <w:ind w:firstLine="2249"/>
        <w:spacing w:before="120" w:beforeAutospacing="0" w:after="120" w:afterAutospacing="0" w:line="360" w:lineRule="auto"/>
        <w:rPr>
          <w:highlight w:val="none"/>
        </w:rPr>
      </w:pPr>
      <w:r>
        <w:rPr>
          <w:highlight w:val="none"/>
        </w:rPr>
      </w:r>
      <w:r/>
    </w:p>
    <w:p>
      <w:pPr>
        <w:pStyle w:val="898"/>
        <w:ind w:firstLine="1606"/>
        <w:jc w:val="both"/>
        <w:spacing w:before="120" w:beforeAutospacing="0" w:after="120" w:afterAutospacing="0" w:line="360" w:lineRule="auto"/>
        <w:rPr>
          <w:rFonts w:hint="eastAsia" w:eastAsiaTheme="minorEastAsia"/>
          <w:highlight w:val="none"/>
          <w:lang w:eastAsia="zh-CN"/>
        </w:rPr>
      </w:pPr>
      <w:r>
        <w:rPr>
          <w:rFonts w:ascii="Arial" w:hAnsi="Arial" w:cs="Arial"/>
          <w:b/>
          <w:color w:val="000000"/>
          <w:sz w:val="32"/>
          <w:szCs w:val="32"/>
          <w:highlight w:val="none"/>
        </w:rPr>
        <w:t xml:space="preserve">项目编号：</w:t>
      </w:r>
      <w:r>
        <w:rPr>
          <w:rFonts w:hint="eastAsia" w:ascii="Arial" w:hAnsi="Arial" w:cs="Arial" w:eastAsiaTheme="minorEastAsia"/>
          <w:b/>
          <w:color w:val="000000"/>
          <w:sz w:val="32"/>
          <w:szCs w:val="32"/>
          <w:highlight w:val="none"/>
          <w:lang w:val="en-US" w:eastAsia="zh-CN" w:bidi="ar-SA"/>
        </w:rPr>
        <w:t xml:space="preserve">JSZC-320904-ZBJC-G2025-0005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spacing w:beforeAutospacing="0" w:afterAutospacing="0" w:line="360" w:lineRule="auto"/>
        <w:rPr>
          <w:highlight w:val="none"/>
        </w:rPr>
      </w:pPr>
      <w:r>
        <w:rPr>
          <w:highlight w:val="none"/>
        </w:rPr>
        <w:t xml:space="preserve"> </w:t>
      </w:r>
      <w:r/>
    </w:p>
    <w:p>
      <w:pPr>
        <w:pStyle w:val="898"/>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eastAsia="宋体" w:cs="宋体"/>
          <w:b/>
          <w:bCs/>
          <w:sz w:val="36"/>
          <w:szCs w:val="36"/>
          <w:lang w:val="en-US" w:eastAsia="zh-CN"/>
        </w:rPr>
        <w:t xml:space="preserve">盐城市大丰中医院（盐城市大丰区老年医院）</w:t>
      </w:r>
      <w:r/>
    </w:p>
    <w:p>
      <w:pPr>
        <w:jc w:val="center"/>
        <w:spacing w:before="120" w:after="120" w:line="700" w:lineRule="exact"/>
        <w:rPr>
          <w:rFonts w:hint="default" w:ascii="宋体" w:hAnsi="宋体" w:eastAsia="宋体" w:cs="宋体"/>
          <w:b/>
          <w:bCs/>
          <w:sz w:val="36"/>
          <w:szCs w:val="36"/>
          <w:lang w:val="en-US" w:eastAsia="zh-CN"/>
        </w:rPr>
        <w:outlineLvl w:val="0"/>
      </w:pPr>
      <w:r>
        <w:rPr>
          <w:rFonts w:hint="eastAsia" w:ascii="宋体" w:hAnsi="宋体" w:cs="宋体"/>
          <w:b/>
          <w:bCs/>
          <w:sz w:val="36"/>
          <w:szCs w:val="36"/>
        </w:rPr>
        <w:t xml:space="preserve">采购代理机构：江苏</w:t>
      </w:r>
      <w:r>
        <w:rPr>
          <w:rFonts w:hint="eastAsia" w:ascii="宋体" w:hAnsi="宋体" w:cs="宋体"/>
          <w:b/>
          <w:bCs/>
          <w:sz w:val="36"/>
          <w:szCs w:val="36"/>
          <w:lang w:val="en-US" w:eastAsia="zh-CN"/>
        </w:rPr>
        <w:t xml:space="preserve">中邦敬诚工程咨询有限公司</w:t>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t xml:space="preserve">202</w:t>
      </w:r>
      <w:r>
        <w:rPr>
          <w:rFonts w:hint="eastAsia" w:ascii="宋体" w:hAnsi="宋体" w:cs="宋体"/>
          <w:b/>
          <w:bCs/>
          <w:sz w:val="36"/>
          <w:szCs w:val="36"/>
          <w:lang w:val="en-US" w:eastAsia="zh-CN"/>
        </w:rPr>
        <w:t xml:space="preserve">5</w:t>
      </w:r>
      <w:r>
        <w:rPr>
          <w:rFonts w:hint="eastAsia" w:ascii="宋体" w:hAnsi="宋体" w:cs="宋体"/>
          <w:b/>
          <w:bCs/>
          <w:sz w:val="36"/>
          <w:szCs w:val="36"/>
        </w:rPr>
        <w:t xml:space="preserve">年</w:t>
      </w:r>
      <w:r>
        <w:rPr>
          <w:rFonts w:hint="eastAsia" w:ascii="宋体" w:hAnsi="宋体" w:cs="宋体"/>
          <w:b/>
          <w:bCs/>
          <w:sz w:val="36"/>
          <w:szCs w:val="36"/>
          <w:lang w:val="en-US" w:eastAsia="zh-CN"/>
        </w:rPr>
        <w:t xml:space="preserve">12</w:t>
      </w:r>
      <w:r>
        <w:rPr>
          <w:rFonts w:hint="eastAsia" w:ascii="宋体" w:hAnsi="宋体" w:cs="宋体"/>
          <w:b/>
          <w:bCs/>
          <w:sz w:val="36"/>
          <w:szCs w:val="36"/>
        </w:rPr>
        <w:t xml:space="preserve">月</w:t>
      </w:r>
      <w:r/>
    </w:p>
    <w:p>
      <w:pPr>
        <w:jc w:val="center"/>
        <w:spacing w:before="120" w:after="120" w:line="700" w:lineRule="exact"/>
        <w:rPr>
          <w:rFonts w:hint="eastAsia" w:ascii="宋体" w:hAnsi="宋体" w:cs="宋体"/>
          <w:b/>
          <w:bCs/>
          <w:sz w:val="36"/>
          <w:szCs w:val="36"/>
        </w:rPr>
      </w:pPr>
      <w:r>
        <w:rPr>
          <w:rFonts w:hint="eastAsia" w:ascii="宋体" w:hAnsi="宋体" w:cs="宋体"/>
          <w:b/>
          <w:bCs/>
          <w:sz w:val="36"/>
          <w:szCs w:val="36"/>
        </w:rPr>
      </w:r>
      <w:r/>
    </w:p>
    <w:p>
      <w:pPr>
        <w:pStyle w:val="898"/>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jc w:val="left"/>
        <w:tabs>
          <w:tab w:val="left" w:pos="5049" w:leader="none"/>
        </w:tabs>
        <w:rPr>
          <w:rFonts w:hint="eastAsia" w:ascii="黑体" w:hAnsi="宋体" w:eastAsia="黑体" w:cs="黑体"/>
          <w:color w:val="000000"/>
          <w:sz w:val="36"/>
          <w:szCs w:val="36"/>
          <w:highlight w:val="none"/>
        </w:rPr>
      </w:pPr>
      <w:r/>
      <w:bookmarkStart w:id="0" w:name="_Toc28359086"/>
      <w:r/>
      <w:r/>
    </w:p>
    <w:p>
      <w:pPr>
        <w:pStyle w:val="898"/>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98"/>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98"/>
        <w:ind w:firstLine="480"/>
        <w:jc w:val="both"/>
        <w:pageBreakBefore w:val="0"/>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盐城市大丰中医院消毒供应中心设备购置项目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1" w:name="_Toc28359079"/>
      <w:r/>
      <w:bookmarkStart w:id="2" w:name="_Toc38985263"/>
      <w:r/>
      <w:bookmarkStart w:id="3" w:name="_Toc28359002"/>
      <w:r/>
      <w:bookmarkStart w:id="4" w:name="_Toc35393790"/>
      <w:r/>
      <w:bookmarkStart w:id="5" w:name="_Toc35393621"/>
      <w:r/>
      <w:bookmarkStart w:id="6" w:name="_Hlk24379207"/>
      <w:r>
        <w:rPr>
          <w:rFonts w:hint="eastAsia" w:ascii="宋体" w:hAnsi="宋体" w:eastAsia="宋体" w:cs="宋体"/>
          <w:b/>
          <w:color w:val="000000"/>
          <w:sz w:val="24"/>
          <w:szCs w:val="24"/>
          <w:highlight w:val="none"/>
        </w:rPr>
        <w:t xml:space="preserve">一、项目基本情况</w:t>
      </w:r>
      <w:bookmarkEnd w:id="1"/>
      <w:r/>
      <w:bookmarkEnd w:id="2"/>
      <w:r/>
      <w:bookmarkEnd w:id="3"/>
      <w:r/>
      <w:bookmarkEnd w:id="4"/>
      <w:r/>
      <w:bookmarkEnd w:id="5"/>
      <w:r/>
      <w:bookmarkEnd w:id="6"/>
      <w:r/>
      <w:r/>
    </w:p>
    <w:p>
      <w:pPr>
        <w:pStyle w:val="898"/>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1.项目编号：JSZC-320904-ZBJC-G2025-0005</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盐城市大丰中医院消毒供应中心设备购置项目</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62.00万元。</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bidi="ar-SA"/>
        </w:rPr>
        <w:t xml:space="preserve">56</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.00</w:t>
      </w:r>
      <w:r>
        <w:rPr>
          <w:rFonts w:hint="eastAsia" w:ascii="宋体" w:hAnsi="宋体" w:eastAsia="宋体" w:cs="宋体"/>
          <w:color w:val="000000"/>
          <w:sz w:val="24"/>
          <w:szCs w:val="24"/>
          <w:highlight w:val="none"/>
          <w:lang w:val="en-US" w:eastAsia="zh-CN" w:bidi="ar-SA"/>
        </w:rPr>
        <w:t xml:space="preserve">万元（其中</w:t>
      </w:r>
      <w:r>
        <w:rPr>
          <w:rFonts w:hint="eastAsia" w:ascii="宋体" w:hAnsi="宋体" w:eastAsia="宋体" w:cs="宋体"/>
          <w:sz w:val="24"/>
          <w:szCs w:val="24"/>
          <w:highlight w:val="none"/>
          <w:lang w:val="en-US" w:eastAsia="zh-CN"/>
        </w:rPr>
        <w:t xml:space="preserve">脉动真空灭菌器31.50万元/台，减压沸腾清洗机24.50万元/台</w:t>
      </w:r>
      <w:r>
        <w:rPr>
          <w:rFonts w:hint="eastAsia" w:ascii="宋体" w:hAnsi="宋体" w:eastAsia="宋体" w:cs="宋体"/>
          <w:color w:val="000000"/>
          <w:sz w:val="24"/>
          <w:szCs w:val="24"/>
          <w:highlight w:val="none"/>
          <w:lang w:val="en-US" w:eastAsia="zh-CN" w:bidi="ar-SA"/>
        </w:rPr>
        <w:t xml:space="preserve">）。</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p>
    <w:tbl>
      <w:tblPr>
        <w:tblStyle w:val="890"/>
        <w:tblW w:w="8455" w:type="dxa"/>
        <w:tblInd w:w="4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3261"/>
        <w:gridCol w:w="995"/>
        <w:gridCol w:w="3429"/>
      </w:tblGrid>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highlight w:val="none"/>
                <w:lang w:val="en-US" w:eastAsia="zh-CN"/>
              </w:rPr>
              <w:t xml:space="preserve">脉动真空灭菌器</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highlight w:val="none"/>
                <w:lang w:val="en-US" w:eastAsia="zh-CN"/>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详细内容见本招标文件第四章</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highlight w:val="none"/>
                <w:lang w:val="en-US" w:eastAsia="zh-CN"/>
              </w:rPr>
              <w:t xml:space="preserve">减压沸腾清洗机</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highlight w:val="none"/>
                <w:lang w:val="en-US" w:eastAsia="zh-CN"/>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3429" w:type="dxa"/>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签订合同后30日历天内完成所需设备的采购、供应、运输、安装、调试等相关伴随服务，并通过采购人的验收。</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bookmarkStart w:id="7" w:name="OLE_LINK8"/>
      <w:r>
        <w:rPr>
          <w:rFonts w:hint="eastAsia" w:ascii="宋体" w:hAnsi="宋体" w:eastAsia="宋体" w:cs="宋体"/>
          <w:color w:val="000000"/>
          <w:sz w:val="24"/>
          <w:szCs w:val="24"/>
          <w:highlight w:val="none"/>
        </w:rPr>
        <w:t xml:space="preserve">本项目不接受联合体投标</w:t>
      </w:r>
      <w:bookmarkEnd w:id="7"/>
      <w:r>
        <w:rPr>
          <w:rFonts w:hint="eastAsia" w:ascii="宋体" w:hAnsi="宋体" w:eastAsia="宋体" w:cs="宋体"/>
          <w:color w:val="000000"/>
          <w:sz w:val="24"/>
          <w:szCs w:val="24"/>
          <w:highlight w:val="none"/>
          <w:lang w:eastAsia="zh-CN"/>
        </w:rPr>
        <w:t xml:space="preserve">。</w:t>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bookmarkStart w:id="8" w:name="_Toc35393791"/>
      <w:r/>
      <w:bookmarkStart w:id="9" w:name="_Toc28359080"/>
      <w:r/>
      <w:bookmarkStart w:id="10" w:name="_Toc35393622"/>
      <w:r/>
      <w:bookmarkStart w:id="11" w:name="_Toc38985264"/>
      <w:r/>
      <w:bookmarkStart w:id="12" w:name="_Toc28359003"/>
      <w:r>
        <w:rPr>
          <w:rFonts w:hint="eastAsia" w:ascii="宋体" w:hAnsi="宋体" w:eastAsia="宋体" w:cs="宋体"/>
          <w:b/>
          <w:color w:val="000000"/>
          <w:sz w:val="24"/>
          <w:szCs w:val="24"/>
          <w:highlight w:val="none"/>
        </w:rPr>
        <w:t xml:space="preserve">二、申请人的资格要求：</w:t>
      </w:r>
      <w:bookmarkEnd w:id="8"/>
      <w:r/>
      <w:bookmarkEnd w:id="9"/>
      <w:r/>
      <w:bookmarkEnd w:id="10"/>
      <w:r/>
      <w:bookmarkEnd w:id="11"/>
      <w:r/>
      <w:bookmarkEnd w:id="12"/>
      <w:r/>
      <w:r/>
    </w:p>
    <w:p>
      <w:pPr>
        <w:pStyle w:val="898"/>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98"/>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98"/>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1.8单位负责人为同一人或者存在直接控股、管理关系的不同供应商，不得参加同一合同项下的政府采购活动。</w:t>
      </w:r>
      <w:r/>
    </w:p>
    <w:p>
      <w:pPr>
        <w:pStyle w:val="89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落实政府采购政策需满足的资格要求：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898"/>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3.本项目的特定资格要求：</w:t>
      </w:r>
      <w:r>
        <w:rPr>
          <w:rFonts w:hint="eastAsia" w:ascii="宋体" w:hAnsi="宋体" w:eastAsia="宋体" w:cs="宋体"/>
          <w:b/>
          <w:bCs/>
          <w:color w:val="000000"/>
          <w:sz w:val="24"/>
          <w:szCs w:val="24"/>
          <w:highlight w:val="none"/>
          <w:lang w:val="en-US" w:eastAsia="zh-CN"/>
        </w:rPr>
        <w:t xml:space="preserve">（1）投标人为医疗器械代理商（经销商）的，须根据投标产品的类别，提供投标人的《医疗器械经营许可证》或者《医疗器械经营备案凭证》；（2）投标人为医疗器械生产企业的，须提供《医疗器械生产许可证》</w:t>
      </w:r>
      <w:r>
        <w:rPr>
          <w:rFonts w:hint="eastAsia" w:ascii="宋体" w:hAnsi="宋体" w:eastAsia="宋体" w:cs="宋体"/>
          <w:color w:val="000000"/>
          <w:sz w:val="24"/>
          <w:szCs w:val="24"/>
          <w:highlight w:val="none"/>
          <w:lang w:val="en-US" w:eastAsia="zh-CN"/>
        </w:rPr>
        <w:t xml:space="preserve">。</w:t>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98"/>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3" w:name="_Toc38985266"/>
      <w:r/>
      <w:bookmarkStart w:id="14" w:name="_Toc28359005"/>
      <w:r/>
      <w:bookmarkStart w:id="15" w:name="_Toc28359082"/>
      <w:r/>
      <w:bookmarkStart w:id="16" w:name="_Toc35393624"/>
      <w:r/>
      <w:bookmarkStart w:id="17" w:name="_Toc35393793"/>
      <w:r>
        <w:rPr>
          <w:rFonts w:hint="eastAsia" w:ascii="宋体" w:hAnsi="宋体" w:eastAsia="宋体" w:cs="宋体"/>
          <w:color w:val="000000"/>
          <w:sz w:val="24"/>
          <w:szCs w:val="24"/>
          <w:highlight w:val="none"/>
          <w:shd w:val="clear" w:color="auto" w:fill="auto"/>
        </w:rPr>
        <w:t xml:space="preserve">1.时间：</w:t>
      </w:r>
      <w:bookmarkEnd w:id="13"/>
      <w:r/>
      <w:bookmarkEnd w:id="14"/>
      <w:r/>
      <w:bookmarkEnd w:id="15"/>
      <w:r/>
      <w:bookmarkEnd w:id="16"/>
      <w:r/>
      <w:bookmarkEnd w:id="17"/>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98"/>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w:t>
      </w:r>
      <w:r>
        <w:rPr>
          <w:rFonts w:ascii="宋体" w:hAnsi="宋体" w:eastAsia="宋体" w:cs="宋体"/>
          <w:color w:val="000000"/>
          <w:sz w:val="24"/>
          <w:szCs w:val="24"/>
        </w:rPr>
        <w:t xml:space="preserve">“苏采云”系统（网址：http://jszfcg.jsczt.cn/）</w:t>
      </w:r>
      <w:r/>
      <w:r>
        <w:rPr>
          <w:rFonts w:hint="eastAsia" w:ascii="宋体" w:hAnsi="宋体" w:eastAsia="宋体" w:cs="宋体"/>
          <w:color w:val="000000"/>
          <w:sz w:val="24"/>
          <w:szCs w:val="24"/>
          <w:highlight w:val="none"/>
          <w:shd w:val="clear" w:color="auto" w:fill="auto"/>
          <w:lang w:val="en-US" w:eastAsia="zh-CN"/>
        </w:rPr>
        <w:t xml:space="preserve"> </w:t>
      </w:r>
      <w:r/>
    </w:p>
    <w:p>
      <w:pPr>
        <w:ind w:firstLine="480"/>
        <w:jc w:val="left"/>
        <w:keepLines w:val="0"/>
        <w:keepNext w:val="0"/>
        <w:pageBreakBefore w:val="0"/>
        <w:spacing w:line="360" w:lineRule="auto"/>
        <w:widowControl/>
        <w:rPr>
          <w:rFonts w:hint="eastAsia" w:ascii="宋体" w:hAnsi="宋体" w:cs="宋体"/>
          <w:color w:val="000000"/>
          <w:sz w:val="24"/>
          <w:szCs w:val="24"/>
          <w:highlight w:val="none"/>
          <w:shd w:val="clear" w:color="auto" w:fill="auto"/>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3.1 潜在供应商访问电子招标响应交易平台的网络地址和方法：</w:t>
      </w:r>
      <w:r>
        <w:rPr>
          <w:rFonts w:ascii="宋体" w:hAnsi="宋体" w:eastAsia="宋体" w:cs="宋体"/>
          <w:color w:val="000000"/>
          <w:sz w:val="24"/>
          <w:szCs w:val="24"/>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3.2 潜在投标人访问“苏采云”系统方法：江苏省政府采购网首页-“苏采云”链接。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3.3“CA数字证书”的获取：</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供应商需办理CA锁，“苏采云”系统目前仅支持政务CA，省内各地区办理的用于“苏采云”平台的政务CA全省通用。盐城地区政务CA办理请至亭湖区政务服务中心二楼226窗口办理，联系电话：15051556883。</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3.4 采购文件（后缀名为“.kedt”）、供应商操作手册及政府采购客户端工具可通过“苏采云”系统相应链接进行下载。</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3.5 招标代理机构（采购代理机构）将数据电文形式的采购文件加载至“苏采云”系统，供潜在供应商下载或者查阅。</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3.6 请潜在投标单位提前安装相应的控件（详见《“苏采云”系统供应商操 作手册》）并使用谷歌浏览器登录“苏采云”系统参与不见面开评标。</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4.文件售价：0元</w:t>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18" w:name="_Toc38985267"/>
      <w:r/>
      <w:bookmarkStart w:id="19" w:name="_Toc28359007"/>
      <w:r/>
      <w:bookmarkStart w:id="20" w:name="_Toc28359084"/>
      <w:r/>
      <w:bookmarkStart w:id="21" w:name="_Toc35393794"/>
      <w:r/>
      <w:bookmarkStart w:id="22" w:name="_Toc35393625"/>
      <w:r>
        <w:rPr>
          <w:rFonts w:hint="eastAsia" w:ascii="宋体" w:hAnsi="宋体" w:eastAsia="宋体" w:cs="宋体"/>
          <w:color w:val="000000"/>
          <w:sz w:val="24"/>
          <w:szCs w:val="24"/>
          <w:highlight w:val="none"/>
          <w:shd w:val="clear" w:color="auto" w:fill="auto"/>
          <w:lang w:val="en-US" w:eastAsia="zh-CN" w:bidi="ar-SA"/>
        </w:rPr>
        <w:t xml:space="preserve">1.线上提交投标文件截止时间：</w:t>
      </w:r>
      <w:r>
        <w:rPr>
          <w:rFonts w:hint="eastAsia" w:ascii="宋体" w:hAnsi="宋体" w:eastAsia="宋体" w:cs="宋体"/>
          <w:color w:val="000000"/>
          <w:sz w:val="24"/>
          <w:szCs w:val="24"/>
          <w:highlight w:val="none"/>
          <w:u w:val="single"/>
          <w:shd w:val="clear" w:color="auto" w:fill="auto"/>
          <w:lang w:val="en-US" w:eastAsia="zh-CN" w:bidi="ar-SA"/>
        </w:rPr>
        <w:t xml:space="preserve">2025年12月25日09:00（北京时间）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2.线上开标时间：</w:t>
      </w:r>
      <w:r>
        <w:rPr>
          <w:rFonts w:hint="eastAsia" w:ascii="宋体" w:hAnsi="宋体" w:eastAsia="宋体" w:cs="宋体"/>
          <w:color w:val="000000"/>
          <w:sz w:val="24"/>
          <w:szCs w:val="24"/>
          <w:highlight w:val="none"/>
          <w:u w:val="single"/>
          <w:shd w:val="clear" w:color="auto" w:fill="auto"/>
          <w:lang w:val="en-US" w:eastAsia="zh-CN" w:bidi="ar-SA"/>
        </w:rPr>
        <w:t xml:space="preserve">2025年12月25日09时00分。</w:t>
      </w:r>
      <w:r/>
    </w:p>
    <w:p>
      <w:pPr>
        <w:ind w:firstLine="480"/>
        <w:jc w:val="left"/>
        <w:keepLines w:val="0"/>
        <w:keepNext w:val="0"/>
        <w:pageBreakBefore w:val="0"/>
        <w:spacing w:line="360" w:lineRule="auto"/>
        <w:widowControl/>
        <w:rPr>
          <w:rFonts w:hint="default"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3.线上开标地点：“苏采云”系统中的“开标大厅”。</w:t>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五、公告期限</w:t>
      </w:r>
      <w:bookmarkEnd w:id="18"/>
      <w:r/>
      <w:bookmarkEnd w:id="19"/>
      <w:r/>
      <w:bookmarkEnd w:id="20"/>
      <w:r/>
      <w:bookmarkEnd w:id="21"/>
      <w:r/>
      <w:bookmarkEnd w:id="22"/>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8985268"/>
      <w:r/>
      <w:bookmarkStart w:id="24" w:name="_Toc35393626"/>
      <w:r/>
      <w:bookmarkStart w:id="25"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3"/>
      <w:r/>
      <w:bookmarkEnd w:id="24"/>
      <w:r/>
      <w:bookmarkEnd w:id="25"/>
      <w:r/>
      <w:r/>
    </w:p>
    <w:p>
      <w:pPr>
        <w:pStyle w:val="898"/>
        <w:ind w:firstLine="498"/>
        <w:jc w:val="both"/>
        <w:keepLines/>
        <w:keepNext/>
        <w:pageBreakBefore w:val="0"/>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26" w:name="_Toc28359018"/>
      <w:r>
        <w:rPr>
          <w:rFonts w:hint="eastAsia" w:ascii="宋体" w:hAnsi="宋体" w:eastAsia="宋体" w:cs="宋体"/>
          <w:color w:val="000000"/>
          <w:sz w:val="24"/>
          <w:szCs w:val="24"/>
          <w:highlight w:val="none"/>
          <w:shd w:val="clear" w:color="auto" w:fill="auto"/>
          <w:lang w:val="en-US" w:eastAsia="zh-CN" w:bidi="ar-SA"/>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2.投标人不得提供虚假材料谋取中标成交的或采取不正当手段诋毁、排挤其他供应商。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4.因供应商的系统环境、操作等原因导致项目参与、开评标过程中出现问题由供应商自行承担负责。</w:t>
      </w:r>
      <w:r/>
    </w:p>
    <w:p>
      <w:pPr>
        <w:pStyle w:val="887"/>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none"/>
          <w:lang w:val="en-US" w:eastAsia="zh-CN" w:bidi="ar-SA"/>
        </w:rPr>
        <w:t xml:space="preserve">七、对本次招标提出询问，请按以下方式联系。</w:t>
      </w:r>
      <w:bookmarkEnd w:id="26"/>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称：盐城市大丰中医院（盐城市大丰区老年医院）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盐城市大丰区大中街道健康东路43号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联系人：吴女士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18905113282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color w:val="auto"/>
          <w:sz w:val="24"/>
          <w:szCs w:val="24"/>
          <w:highlight w:val="none"/>
          <w:lang w:val="en-US" w:eastAsia="zh-CN" w:bidi="ar-SA"/>
        </w:rPr>
        <w:t xml:space="preserve">江苏中邦敬诚工程咨询有限公司</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color w:val="auto"/>
          <w:sz w:val="24"/>
          <w:szCs w:val="24"/>
          <w:highlight w:val="none"/>
          <w:lang w:val="en-US" w:eastAsia="zh-CN" w:bidi="ar-SA"/>
        </w:rPr>
        <w:t xml:space="preserve">盐城市大丰区金丰路东侧舜景·中央名府6号楼M109连</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bidi="ar-SA"/>
        </w:rPr>
        <w:t xml:space="preserve">唐慧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7" w:name="_Toc28359087"/>
      <w:r/>
      <w:bookmarkStart w:id="28" w:name="_Toc28359010"/>
      <w:r>
        <w:rPr>
          <w:rFonts w:hint="eastAsia" w:ascii="宋体" w:hAnsi="宋体" w:eastAsia="宋体" w:cs="宋体"/>
          <w:color w:val="auto"/>
          <w:sz w:val="24"/>
          <w:szCs w:val="24"/>
          <w:highlight w:val="none"/>
          <w:lang w:val="en-US" w:eastAsia="zh-CN" w:bidi="ar-SA"/>
        </w:rPr>
        <w:t xml:space="preserve">19851500287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27"/>
      <w:r/>
      <w:bookmarkEnd w:id="2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2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宋体" w:hAnsi="宋体" w:eastAsia="宋体" w:cs="宋体"/>
          <w:color w:val="auto"/>
          <w:sz w:val="24"/>
          <w:szCs w:val="24"/>
          <w:highlight w:val="none"/>
          <w:lang w:val="en-US" w:eastAsia="zh-CN" w:bidi="ar-SA"/>
        </w:rPr>
        <w:t xml:space="preserve">唐慧</w:t>
      </w:r>
      <w:r/>
    </w:p>
    <w:p>
      <w:pPr>
        <w:pStyle w:val="898"/>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auto"/>
          <w:sz w:val="24"/>
          <w:szCs w:val="24"/>
          <w:highlight w:val="none"/>
          <w:lang w:val="en-US" w:eastAsia="zh-CN" w:bidi="ar-SA"/>
        </w:rPr>
        <w:t xml:space="preserve">19851500287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0" w:name="_Toc120614211"/>
      <w:r/>
      <w:r/>
    </w:p>
    <w:p>
      <w:pPr>
        <w:pStyle w:val="898"/>
        <w:ind w:firstLine="2429"/>
        <w:jc w:val="both"/>
        <w:keepLines/>
        <w:keepNext/>
        <w:spacing w:before="260" w:beforeAutospacing="0" w:after="260" w:afterAutospacing="0" w:line="240" w:lineRule="auto"/>
        <w:rPr>
          <w:highlight w:val="none"/>
        </w:rPr>
      </w:pPr>
      <w:r>
        <w:rPr>
          <w:rFonts w:hint="eastAsia" w:ascii="黑体" w:hAnsi="宋体" w:eastAsia="黑体" w:cs="黑体"/>
          <w:b/>
          <w:color w:val="000000"/>
          <w:sz w:val="44"/>
          <w:szCs w:val="44"/>
          <w:highlight w:val="none"/>
        </w:rPr>
        <w:t xml:space="preserve">第二章  </w:t>
      </w:r>
      <w:bookmarkEnd w:id="30"/>
      <w:r/>
      <w:bookmarkStart w:id="31" w:name="_Toc20823274"/>
      <w:r/>
      <w:bookmarkStart w:id="32" w:name="_Toc120614213"/>
      <w:r/>
      <w:bookmarkStart w:id="33" w:name="_Toc513029202"/>
      <w:r/>
      <w:bookmarkStart w:id="34" w:name="_Toc16938518"/>
      <w:r>
        <w:rPr>
          <w:rFonts w:hint="eastAsia" w:ascii="黑体" w:hAnsi="宋体" w:eastAsia="黑体" w:cs="黑体"/>
          <w:b/>
          <w:color w:val="000000"/>
          <w:sz w:val="44"/>
          <w:szCs w:val="44"/>
          <w:highlight w:val="none"/>
        </w:rPr>
        <w:t xml:space="preserve">投标人须知</w:t>
      </w:r>
      <w:bookmarkEnd w:id="31"/>
      <w:r/>
      <w:bookmarkEnd w:id="32"/>
      <w:r/>
      <w:bookmarkEnd w:id="33"/>
      <w:r/>
      <w:bookmarkEnd w:id="34"/>
      <w:r/>
      <w:r/>
    </w:p>
    <w:p>
      <w:pPr>
        <w:pStyle w:val="898"/>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35" w:name="_Toc513029203"/>
      <w:r/>
      <w:bookmarkStart w:id="36" w:name="_Toc20823275"/>
      <w:r/>
      <w:bookmarkStart w:id="37" w:name="_Toc16938519"/>
      <w:r/>
      <w:bookmarkStart w:id="38" w:name="_Toc120614214"/>
      <w:r>
        <w:rPr>
          <w:rFonts w:hint="eastAsia" w:ascii="宋体" w:hAnsi="宋体" w:eastAsia="宋体" w:cs="宋体"/>
          <w:b/>
          <w:color w:val="000000"/>
          <w:sz w:val="24"/>
          <w:szCs w:val="24"/>
          <w:highlight w:val="none"/>
        </w:rPr>
        <w:t xml:space="preserve">一、总则</w:t>
      </w:r>
      <w:bookmarkEnd w:id="35"/>
      <w:r/>
      <w:bookmarkEnd w:id="36"/>
      <w:r/>
      <w:bookmarkEnd w:id="37"/>
      <w:r/>
      <w:bookmarkEnd w:id="38"/>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9" w:name="_Toc20823276"/>
      <w:r/>
      <w:bookmarkStart w:id="40" w:name="_Toc16938520"/>
      <w:r/>
      <w:bookmarkStart w:id="41" w:name="_Toc513029204"/>
      <w:r/>
      <w:bookmarkStart w:id="42" w:name="_Toc458694821"/>
      <w:r/>
      <w:bookmarkStart w:id="43" w:name="_Hlt16619475"/>
      <w:r>
        <w:rPr>
          <w:rFonts w:hint="eastAsia" w:ascii="宋体" w:hAnsi="宋体" w:eastAsia="宋体" w:cs="宋体"/>
          <w:color w:val="000000"/>
          <w:sz w:val="24"/>
          <w:szCs w:val="24"/>
          <w:highlight w:val="none"/>
        </w:rPr>
        <w:t xml:space="preserve">1</w:t>
      </w:r>
      <w:bookmarkEnd w:id="39"/>
      <w:r>
        <w:rPr>
          <w:rFonts w:hint="eastAsia" w:ascii="宋体" w:hAnsi="宋体" w:eastAsia="宋体" w:cs="宋体"/>
          <w:color w:val="000000"/>
          <w:sz w:val="24"/>
          <w:szCs w:val="24"/>
          <w:highlight w:val="none"/>
        </w:rPr>
        <w:t xml:space="preserve">、招标方式</w:t>
      </w:r>
      <w:bookmarkEnd w:id="40"/>
      <w:r/>
      <w:bookmarkEnd w:id="41"/>
      <w:r/>
      <w:bookmarkEnd w:id="42"/>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4" w:name="_Toc513029205"/>
      <w:r/>
      <w:bookmarkStart w:id="45" w:name="_Toc20823277"/>
      <w:r/>
      <w:bookmarkStart w:id="46" w:name="_Toc16938521"/>
      <w:r>
        <w:rPr>
          <w:rFonts w:hint="eastAsia" w:ascii="宋体" w:hAnsi="宋体" w:eastAsia="宋体" w:cs="宋体"/>
          <w:color w:val="000000"/>
          <w:sz w:val="24"/>
          <w:szCs w:val="24"/>
          <w:highlight w:val="none"/>
        </w:rPr>
        <w:t xml:space="preserve">2、合格的投标人</w:t>
      </w:r>
      <w:bookmarkEnd w:id="44"/>
      <w:r/>
      <w:bookmarkEnd w:id="45"/>
      <w:r/>
      <w:bookmarkEnd w:id="46"/>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7" w:name="_Toc20823278"/>
      <w:r/>
      <w:bookmarkStart w:id="48" w:name="_Toc16938522"/>
      <w:r/>
      <w:bookmarkStart w:id="49" w:name="_Toc513029206"/>
      <w:r>
        <w:rPr>
          <w:rFonts w:hint="eastAsia" w:ascii="宋体" w:hAnsi="宋体" w:eastAsia="宋体" w:cs="宋体"/>
          <w:color w:val="000000"/>
          <w:sz w:val="24"/>
          <w:szCs w:val="24"/>
          <w:highlight w:val="none"/>
        </w:rPr>
        <w:t xml:space="preserve">3、适用法律</w:t>
      </w:r>
      <w:bookmarkEnd w:id="47"/>
      <w:r/>
      <w:bookmarkEnd w:id="48"/>
      <w:r/>
      <w:bookmarkEnd w:id="49"/>
      <w:r/>
      <w:r/>
    </w:p>
    <w:p>
      <w:pPr>
        <w:pStyle w:val="898"/>
        <w:ind w:firstLine="42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0" w:name="_Toc513029207"/>
      <w:r/>
      <w:bookmarkStart w:id="51" w:name="_Toc16938523"/>
      <w:r/>
      <w:bookmarkStart w:id="52" w:name="_Toc462564067"/>
      <w:r/>
      <w:bookmarkStart w:id="53" w:name="_Toc20823279"/>
      <w:r>
        <w:rPr>
          <w:rFonts w:hint="eastAsia" w:ascii="宋体" w:hAnsi="宋体" w:eastAsia="宋体" w:cs="宋体"/>
          <w:color w:val="000000"/>
          <w:sz w:val="24"/>
          <w:szCs w:val="24"/>
          <w:highlight w:val="none"/>
        </w:rPr>
        <w:t xml:space="preserve">4、投标费用</w:t>
      </w:r>
      <w:bookmarkEnd w:id="50"/>
      <w:r/>
      <w:bookmarkEnd w:id="51"/>
      <w:r/>
      <w:bookmarkEnd w:id="52"/>
      <w:r/>
      <w:bookmarkEnd w:id="53"/>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投标人应自行承担所有与参加投标有关的费用，无论投标过程中的做法和结果如何，盐城市大丰中医院（盐城市大丰区老年医院）（以下简称采购人）在任何情况下均无义务和责任承担这些费用。</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中标供应商须承担按苏招协【2022】002号文件*40%采购代理服务费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供应商综合考虑</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费、专家论证费</w:t>
      </w:r>
      <w:r>
        <w:rPr>
          <w:rFonts w:hint="eastAsia" w:ascii="宋体" w:hAnsi="宋体" w:eastAsia="宋体" w:cs="宋体"/>
          <w:color w:val="000000"/>
          <w:sz w:val="24"/>
          <w:szCs w:val="24"/>
          <w:highlight w:val="none"/>
          <w:lang w:val="en-US" w:eastAsia="zh-CN"/>
        </w:rPr>
        <w:t xml:space="preserve">该部分费用不单列，中标供应商在领取通知书时一次性支付。</w:t>
      </w:r>
      <w:r/>
    </w:p>
    <w:p>
      <w:pPr>
        <w:pStyle w:val="898"/>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98"/>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54" w:name="_Toc16938525"/>
      <w:r/>
      <w:bookmarkStart w:id="55" w:name="_Toc20823281"/>
      <w:r/>
      <w:bookmarkStart w:id="56" w:name="_Toc513029209"/>
      <w:r/>
      <w:bookmarkStart w:id="57" w:name="_Toc120614215"/>
      <w:r>
        <w:rPr>
          <w:rFonts w:hint="eastAsia" w:ascii="宋体" w:hAnsi="宋体" w:eastAsia="宋体" w:cs="宋体"/>
          <w:b/>
          <w:color w:val="000000"/>
          <w:sz w:val="24"/>
          <w:szCs w:val="24"/>
          <w:highlight w:val="none"/>
        </w:rPr>
        <w:t xml:space="preserve">二、招标文件</w:t>
      </w:r>
      <w:bookmarkEnd w:id="54"/>
      <w:r/>
      <w:bookmarkEnd w:id="55"/>
      <w:r/>
      <w:bookmarkEnd w:id="56"/>
      <w:r/>
      <w:bookmarkEnd w:id="57"/>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8" w:name="_Toc513029210"/>
      <w:r/>
      <w:bookmarkStart w:id="59" w:name="_Toc16938526"/>
      <w:r/>
      <w:bookmarkStart w:id="60" w:name="_Toc20823282"/>
      <w:r>
        <w:rPr>
          <w:rFonts w:hint="eastAsia" w:ascii="宋体" w:hAnsi="宋体" w:eastAsia="宋体" w:cs="宋体"/>
          <w:color w:val="000000"/>
          <w:sz w:val="24"/>
          <w:szCs w:val="24"/>
          <w:highlight w:val="none"/>
        </w:rPr>
        <w:t xml:space="preserve">6、招标文件构成</w:t>
      </w:r>
      <w:bookmarkEnd w:id="58"/>
      <w:r/>
      <w:bookmarkEnd w:id="59"/>
      <w:r/>
      <w:bookmarkEnd w:id="60"/>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98"/>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98"/>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98"/>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98"/>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98"/>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98"/>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1" w:name="_Toc513029211"/>
      <w:r/>
      <w:bookmarkStart w:id="62" w:name="_Toc462564070"/>
      <w:r/>
      <w:bookmarkStart w:id="63" w:name="_Toc16938527"/>
      <w:r/>
      <w:bookmarkStart w:id="64" w:name="_Toc20823283"/>
      <w:r>
        <w:rPr>
          <w:rFonts w:hint="eastAsia" w:ascii="宋体" w:hAnsi="宋体" w:eastAsia="宋体" w:cs="宋体"/>
          <w:color w:val="000000"/>
          <w:sz w:val="24"/>
          <w:szCs w:val="24"/>
          <w:highlight w:val="none"/>
        </w:rPr>
        <w:t xml:space="preserve">7、招标文件的澄清</w:t>
      </w:r>
      <w:bookmarkEnd w:id="61"/>
      <w:r/>
      <w:bookmarkEnd w:id="62"/>
      <w:r/>
      <w:bookmarkEnd w:id="63"/>
      <w:r/>
      <w:bookmarkEnd w:id="64"/>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5" w:name="_Toc462564071"/>
      <w:r/>
      <w:bookmarkStart w:id="66" w:name="_Toc513029212"/>
      <w:r/>
      <w:bookmarkStart w:id="67" w:name="_Toc16938528"/>
      <w:r/>
      <w:bookmarkStart w:id="68" w:name="_Toc20823284"/>
      <w:r>
        <w:rPr>
          <w:rFonts w:hint="eastAsia" w:ascii="宋体" w:hAnsi="宋体" w:eastAsia="宋体" w:cs="宋体"/>
          <w:color w:val="000000"/>
          <w:sz w:val="24"/>
          <w:szCs w:val="24"/>
          <w:highlight w:val="none"/>
        </w:rPr>
        <w:t xml:space="preserve">8、招标文件的修改</w:t>
      </w:r>
      <w:bookmarkEnd w:id="65"/>
      <w:r/>
      <w:bookmarkEnd w:id="66"/>
      <w:r/>
      <w:bookmarkEnd w:id="67"/>
      <w:r/>
      <w:bookmarkEnd w:id="68"/>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在投标截止时间前，采购中心可以对招标文件进行修改。</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98"/>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69" w:name="_Toc20823285"/>
      <w:r/>
      <w:bookmarkStart w:id="70" w:name="_Toc513029213"/>
      <w:r/>
      <w:bookmarkStart w:id="71" w:name="_Toc462564072"/>
      <w:r/>
      <w:bookmarkStart w:id="72" w:name="_Toc120614216"/>
      <w:r/>
      <w:bookmarkStart w:id="73" w:name="_Toc16938529"/>
      <w:r>
        <w:rPr>
          <w:rFonts w:hint="eastAsia" w:ascii="宋体" w:hAnsi="宋体" w:eastAsia="宋体" w:cs="宋体"/>
          <w:b/>
          <w:color w:val="000000"/>
          <w:sz w:val="24"/>
          <w:szCs w:val="24"/>
          <w:highlight w:val="none"/>
        </w:rPr>
        <w:t xml:space="preserve">三、投标文件的编制</w:t>
      </w:r>
      <w:bookmarkEnd w:id="69"/>
      <w:r/>
      <w:bookmarkEnd w:id="70"/>
      <w:r/>
      <w:bookmarkEnd w:id="71"/>
      <w:r/>
      <w:bookmarkEnd w:id="72"/>
      <w:r/>
      <w:bookmarkEnd w:id="73"/>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4" w:name="_Toc20823286"/>
      <w:r/>
      <w:bookmarkStart w:id="75" w:name="_Toc513029214"/>
      <w:r/>
      <w:bookmarkStart w:id="76" w:name="_Toc462564073"/>
      <w:r/>
      <w:bookmarkStart w:id="77" w:name="_Toc16938530"/>
      <w:r>
        <w:rPr>
          <w:rFonts w:hint="eastAsia" w:ascii="宋体" w:hAnsi="宋体" w:eastAsia="宋体" w:cs="宋体"/>
          <w:color w:val="000000"/>
          <w:sz w:val="24"/>
          <w:szCs w:val="24"/>
          <w:highlight w:val="none"/>
        </w:rPr>
        <w:t xml:space="preserve">9、投标文件的语言及度量衡单位</w:t>
      </w:r>
      <w:bookmarkEnd w:id="74"/>
      <w:r/>
      <w:bookmarkEnd w:id="75"/>
      <w:r/>
      <w:bookmarkEnd w:id="76"/>
      <w:r/>
      <w:bookmarkEnd w:id="77"/>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8" w:name="_Toc16938531"/>
      <w:r/>
      <w:bookmarkStart w:id="79" w:name="_Toc513029215"/>
      <w:r/>
      <w:bookmarkStart w:id="80" w:name="_Toc20823287"/>
      <w:r/>
      <w:bookmarkStart w:id="81" w:name="_Toc462564074"/>
      <w:r>
        <w:rPr>
          <w:rFonts w:hint="eastAsia" w:ascii="宋体" w:hAnsi="宋体" w:eastAsia="宋体" w:cs="宋体"/>
          <w:color w:val="000000"/>
          <w:sz w:val="24"/>
          <w:szCs w:val="24"/>
          <w:highlight w:val="none"/>
        </w:rPr>
        <w:t xml:space="preserve">10、投标文件构成</w:t>
      </w:r>
      <w:bookmarkEnd w:id="78"/>
      <w:r/>
      <w:bookmarkEnd w:id="79"/>
      <w:r/>
      <w:bookmarkEnd w:id="80"/>
      <w:r/>
      <w:bookmarkEnd w:id="81"/>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投标人编写的投标文件应包括资格证明文件、符合性证明文件、投标分项报价表、技术要求响应及偏离表、商务要求响应及偏离表、开标一览表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rPr>
        <w:t xml:space="preserve">服务方案</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盐城市政府采购事前信用承诺书</w:t>
      </w:r>
      <w:r>
        <w:rPr>
          <w:rFonts w:hint="eastAsia" w:ascii="宋体" w:hAnsi="宋体" w:eastAsia="宋体" w:cs="宋体"/>
          <w:color w:val="000000"/>
          <w:sz w:val="24"/>
          <w:szCs w:val="24"/>
          <w:highlight w:val="none"/>
        </w:rPr>
        <w:t xml:space="preserve">等部分。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2" w:name="_Toc14577357"/>
      <w:r/>
      <w:bookmarkStart w:id="83" w:name="_Toc14577355"/>
      <w:r/>
      <w:bookmarkStart w:id="84" w:name="_Toc49090507"/>
      <w:r/>
      <w:bookmarkStart w:id="85" w:name="_Toc513029219"/>
      <w:r/>
      <w:bookmarkStart w:id="86" w:name="_Toc49090509"/>
      <w:r/>
      <w:bookmarkStart w:id="87" w:name="_Toc14577354"/>
      <w:r/>
      <w:bookmarkStart w:id="88" w:name="_Toc513029216"/>
      <w:r/>
      <w:bookmarkStart w:id="89" w:name="_Toc49090508"/>
      <w:r/>
      <w:bookmarkStart w:id="90" w:name="_Hlt26668975"/>
      <w:r/>
      <w:bookmarkStart w:id="91" w:name="_Hlt26670360"/>
      <w:r/>
      <w:bookmarkStart w:id="92" w:name="_Hlt26954838"/>
      <w:r>
        <w:rPr>
          <w:rFonts w:hint="eastAsia" w:ascii="宋体" w:hAnsi="宋体" w:eastAsia="宋体" w:cs="宋体"/>
          <w:color w:val="000000"/>
          <w:sz w:val="24"/>
          <w:szCs w:val="24"/>
          <w:highlight w:val="none"/>
        </w:rPr>
        <w:t xml:space="preserve">11、证明投标人及投标标的符合招标文件规定的文件</w:t>
      </w:r>
      <w:bookmarkEnd w:id="82"/>
      <w:r/>
      <w:bookmarkEnd w:id="83"/>
      <w:r/>
      <w:bookmarkEnd w:id="84"/>
      <w:r/>
      <w:bookmarkEnd w:id="85"/>
      <w:r/>
      <w:bookmarkEnd w:id="86"/>
      <w:r/>
      <w:bookmarkEnd w:id="87"/>
      <w:r/>
      <w:bookmarkEnd w:id="88"/>
      <w:r/>
      <w:bookmarkEnd w:id="89"/>
      <w:r/>
      <w:r/>
    </w:p>
    <w:p>
      <w:pPr>
        <w:pStyle w:val="89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为单位标注。招标文件中另有规定的按规定执行。</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3" w:name="_Hlt26954846"/>
      <w:r/>
      <w:bookmarkStart w:id="94" w:name="_Hlt26670482"/>
      <w:r/>
      <w:bookmarkStart w:id="95" w:name="_Hlt26954731"/>
      <w:r/>
      <w:bookmarkStart w:id="96" w:name="_Hlt26954848"/>
      <w:r/>
      <w:bookmarkStart w:id="97" w:name="_Hlt26670486"/>
      <w:r>
        <w:rPr>
          <w:rFonts w:hint="eastAsia" w:ascii="宋体" w:hAnsi="宋体" w:eastAsia="宋体" w:cs="宋体"/>
          <w:color w:val="000000"/>
          <w:sz w:val="24"/>
          <w:szCs w:val="24"/>
          <w:highlight w:val="none"/>
        </w:rPr>
        <w:t xml:space="preserve">13、技术要求响应及偏离表、商务要求响应及偏离表</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8" w:name="_Toc49090510"/>
      <w:r/>
      <w:bookmarkStart w:id="99" w:name="_Toc14577359"/>
      <w:r>
        <w:rPr>
          <w:rFonts w:hint="eastAsia" w:ascii="宋体" w:hAnsi="宋体" w:eastAsia="宋体" w:cs="宋体"/>
          <w:color w:val="000000"/>
          <w:sz w:val="24"/>
          <w:szCs w:val="24"/>
          <w:highlight w:val="none"/>
        </w:rPr>
        <w:t xml:space="preserve">15、投标函和开标一览表</w:t>
      </w:r>
      <w:bookmarkEnd w:id="98"/>
      <w:r/>
      <w:bookmarkEnd w:id="99"/>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0" w:name="_Toc49090511"/>
      <w:r/>
      <w:bookmarkStart w:id="101" w:name="_Toc14577360"/>
      <w:r>
        <w:rPr>
          <w:rFonts w:hint="eastAsia" w:ascii="宋体" w:hAnsi="宋体" w:eastAsia="宋体" w:cs="宋体"/>
          <w:color w:val="000000"/>
          <w:sz w:val="24"/>
          <w:szCs w:val="24"/>
          <w:highlight w:val="none"/>
        </w:rPr>
        <w:t xml:space="preserve">16、投标有效期</w:t>
      </w:r>
      <w:bookmarkEnd w:id="100"/>
      <w:r/>
      <w:bookmarkEnd w:id="101"/>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98"/>
        <w:ind w:firstLine="24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02" w:name="_Toc20823296"/>
      <w:r/>
      <w:bookmarkStart w:id="103" w:name="_Toc16938540"/>
      <w:r/>
      <w:bookmarkStart w:id="104" w:name="_Toc513029224"/>
      <w:r/>
      <w:bookmarkStart w:id="105" w:name="_Toc120614217"/>
      <w:r/>
      <w:bookmarkStart w:id="106" w:name="_Hlt26954739"/>
      <w:r/>
      <w:bookmarkStart w:id="107" w:name="_Hlt26954852"/>
      <w:r>
        <w:rPr>
          <w:rFonts w:hint="eastAsia" w:ascii="宋体" w:hAnsi="宋体" w:eastAsia="宋体" w:cs="宋体"/>
          <w:b/>
          <w:color w:val="000000"/>
          <w:sz w:val="24"/>
          <w:szCs w:val="24"/>
          <w:highlight w:val="none"/>
        </w:rPr>
        <w:t xml:space="preserve">四、投标文件的递交</w:t>
      </w:r>
      <w:bookmarkEnd w:id="102"/>
      <w:r/>
      <w:bookmarkEnd w:id="103"/>
      <w:r/>
      <w:bookmarkEnd w:id="104"/>
      <w:r/>
      <w:bookmarkEnd w:id="105"/>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8" w:name="_Toc462564084"/>
      <w:r/>
      <w:bookmarkStart w:id="109" w:name="_Toc20823297"/>
      <w:r/>
      <w:bookmarkStart w:id="110" w:name="_Toc513029225"/>
      <w:r/>
      <w:bookmarkStart w:id="111" w:name="_Toc16938541"/>
      <w:r>
        <w:rPr>
          <w:rFonts w:hint="eastAsia" w:ascii="宋体" w:hAnsi="宋体" w:eastAsia="宋体" w:cs="宋体"/>
          <w:color w:val="000000"/>
          <w:sz w:val="24"/>
          <w:szCs w:val="24"/>
          <w:highlight w:val="none"/>
        </w:rPr>
        <w:t xml:space="preserve">18、电子投标文件</w:t>
      </w:r>
      <w:bookmarkEnd w:id="108"/>
      <w:r/>
      <w:bookmarkEnd w:id="109"/>
      <w:r/>
      <w:bookmarkEnd w:id="110"/>
      <w:r/>
      <w:bookmarkEnd w:id="111"/>
      <w:r>
        <w:rPr>
          <w:rFonts w:hint="eastAsia" w:ascii="宋体" w:hAnsi="宋体" w:eastAsia="宋体" w:cs="宋体"/>
          <w:color w:val="000000"/>
          <w:sz w:val="24"/>
          <w:szCs w:val="24"/>
          <w:highlight w:val="none"/>
        </w:rPr>
        <w:t xml:space="preserve">的递交</w:t>
      </w:r>
      <w:r/>
    </w:p>
    <w:p>
      <w:pPr>
        <w:pStyle w:val="898"/>
        <w:ind w:left="525"/>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2" w:name="_Toc20823298"/>
      <w:r/>
      <w:bookmarkEnd w:id="112"/>
      <w:r/>
      <w:bookmarkStart w:id="113" w:name="_Toc16938542"/>
      <w:r/>
      <w:bookmarkEnd w:id="113"/>
      <w:r/>
      <w:bookmarkStart w:id="114" w:name="_Toc513029226"/>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19、投标截止日期</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投标人上传电子投标文件的时间不得迟于招标公告中规定的投标截止时间。</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5" w:name="_Toc16938543"/>
      <w:r/>
      <w:bookmarkStart w:id="116" w:name="_Toc513029227"/>
      <w:r/>
      <w:bookmarkStart w:id="117" w:name="_Toc20823299"/>
      <w:r>
        <w:rPr>
          <w:rFonts w:hint="eastAsia" w:ascii="宋体" w:hAnsi="宋体" w:eastAsia="宋体" w:cs="宋体"/>
          <w:color w:val="000000"/>
          <w:sz w:val="24"/>
          <w:szCs w:val="24"/>
          <w:highlight w:val="none"/>
        </w:rPr>
        <w:t xml:space="preserve">20、投标文件</w:t>
      </w:r>
      <w:bookmarkEnd w:id="115"/>
      <w:r/>
      <w:bookmarkEnd w:id="116"/>
      <w:r/>
      <w:bookmarkEnd w:id="117"/>
      <w:r>
        <w:rPr>
          <w:rFonts w:hint="eastAsia" w:ascii="宋体" w:hAnsi="宋体" w:eastAsia="宋体" w:cs="宋体"/>
          <w:color w:val="000000"/>
          <w:sz w:val="24"/>
          <w:szCs w:val="24"/>
          <w:highlight w:val="none"/>
        </w:rPr>
        <w:t xml:space="preserve">的拒收</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采购中心拒绝接收在其规定的投标截止时间后上传的任何投标文件。</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8" w:name="_Toc513029228"/>
      <w:r/>
      <w:bookmarkStart w:id="119" w:name="_Toc20823300"/>
      <w:r/>
      <w:bookmarkStart w:id="120" w:name="_Toc16938544"/>
      <w:r>
        <w:rPr>
          <w:rFonts w:hint="eastAsia" w:ascii="宋体" w:hAnsi="宋体" w:eastAsia="宋体" w:cs="宋体"/>
          <w:color w:val="000000"/>
          <w:sz w:val="24"/>
          <w:szCs w:val="24"/>
          <w:highlight w:val="none"/>
        </w:rPr>
        <w:t xml:space="preserve">21、投标文件的撤回和修改</w:t>
      </w:r>
      <w:bookmarkEnd w:id="118"/>
      <w:r/>
      <w:bookmarkEnd w:id="119"/>
      <w:r/>
      <w:bookmarkEnd w:id="120"/>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98"/>
        <w:ind w:firstLine="241"/>
        <w:jc w:val="both"/>
        <w:keepLines/>
        <w:keepNext/>
        <w:pageBreakBefore w:val="0"/>
        <w:spacing w:before="145" w:beforeAutospacing="0" w:after="145" w:afterAutospacing="0" w:line="360" w:lineRule="auto"/>
        <w:widowControl w:val="off"/>
        <w:rPr>
          <w:rFonts w:hint="eastAsia" w:ascii="宋体" w:hAnsi="宋体" w:eastAsia="宋体" w:cs="宋体"/>
          <w:b/>
          <w:color w:val="000000"/>
          <w:sz w:val="24"/>
          <w:szCs w:val="24"/>
          <w:highlight w:val="none"/>
        </w:rPr>
      </w:pPr>
      <w:r/>
      <w:bookmarkStart w:id="121" w:name="_Toc20823301"/>
      <w:r/>
      <w:bookmarkStart w:id="122" w:name="_Toc120614218"/>
      <w:r/>
      <w:bookmarkStart w:id="123" w:name="_Toc16938545"/>
      <w:r/>
      <w:bookmarkStart w:id="124" w:name="_Toc513029229"/>
      <w:r>
        <w:rPr>
          <w:rFonts w:hint="eastAsia" w:ascii="宋体" w:hAnsi="宋体" w:eastAsia="宋体" w:cs="宋体"/>
          <w:b/>
          <w:color w:val="000000"/>
          <w:sz w:val="24"/>
          <w:szCs w:val="24"/>
          <w:highlight w:val="none"/>
        </w:rPr>
        <w:t xml:space="preserve">五、开标与评标</w:t>
      </w:r>
      <w:bookmarkEnd w:id="121"/>
      <w:r/>
      <w:bookmarkEnd w:id="122"/>
      <w:r/>
      <w:bookmarkEnd w:id="123"/>
      <w:r/>
      <w:bookmarkEnd w:id="124"/>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25" w:name="_Toc20823302"/>
      <w:r/>
      <w:bookmarkStart w:id="126" w:name="_Toc16938546"/>
      <w:r/>
      <w:bookmarkStart w:id="127" w:name="_Toc513029230"/>
      <w:r>
        <w:rPr>
          <w:rFonts w:hint="eastAsia" w:ascii="宋体" w:hAnsi="宋体" w:eastAsia="宋体" w:cs="宋体"/>
          <w:color w:val="000000"/>
          <w:sz w:val="24"/>
          <w:szCs w:val="24"/>
          <w:highlight w:val="none"/>
        </w:rPr>
        <w:t xml:space="preserve">22、开标</w:t>
      </w:r>
      <w:bookmarkEnd w:id="125"/>
      <w:r/>
      <w:bookmarkEnd w:id="126"/>
      <w:r/>
      <w:bookmarkEnd w:id="127"/>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22.2开标仪式由采购中心组织。苏采云系统将自动对项目进行开标，并宣布各投标人名称和投标价格。</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8" w:name="_Toc20823303"/>
      <w:r/>
      <w:bookmarkStart w:id="129" w:name="_Toc513029231"/>
      <w:r/>
      <w:bookmarkStart w:id="130" w:name="_Toc16938547"/>
      <w:r>
        <w:rPr>
          <w:rFonts w:hint="eastAsia" w:ascii="宋体" w:hAnsi="宋体" w:eastAsia="宋体" w:cs="宋体"/>
          <w:color w:val="000000"/>
          <w:sz w:val="24"/>
          <w:szCs w:val="24"/>
          <w:highlight w:val="none"/>
        </w:rPr>
        <w:t xml:space="preserve">23、评标委员会</w:t>
      </w:r>
      <w:bookmarkEnd w:id="128"/>
      <w:r/>
      <w:bookmarkEnd w:id="129"/>
      <w:r/>
      <w:bookmarkEnd w:id="130"/>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23.1开标后，采购中心将立即组织评标委员会（以下简称评委会）进行评标。</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23.3评委会独立工作，负责评审所有投标文件并确定中标侯选人。</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评标过程的保密与公正</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16938548"/>
      <w:r/>
      <w:bookmarkStart w:id="132" w:name="_Toc20823304"/>
      <w:r/>
      <w:bookmarkStart w:id="133" w:name="_Toc513029232"/>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投标文件的澄清</w:t>
      </w:r>
      <w:bookmarkEnd w:id="131"/>
      <w:r/>
      <w:bookmarkEnd w:id="132"/>
      <w:r/>
      <w:bookmarkEnd w:id="133"/>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4" w:name="_Toc20823305"/>
      <w:r/>
      <w:bookmarkStart w:id="135" w:name="_Toc16938549"/>
      <w:r/>
      <w:bookmarkStart w:id="136"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4"/>
      <w:r/>
      <w:bookmarkEnd w:id="135"/>
      <w:r/>
      <w:bookmarkEnd w:id="136"/>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w:t>
      </w:r>
      <w:r>
        <w:rPr>
          <w:rFonts w:hint="eastAsia" w:ascii="宋体" w:hAnsi="宋体" w:eastAsia="宋体" w:cs="宋体"/>
          <w:color w:val="000000"/>
          <w:sz w:val="24"/>
          <w:szCs w:val="24"/>
          <w:highlight w:val="none"/>
        </w:rPr>
        <w:t xml:space="preserve">说明和补正，其风险由投标人自行承担。</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7" w:name="_Toc20823306"/>
      <w:r/>
      <w:bookmarkStart w:id="138" w:name="_Toc16938550"/>
      <w:r/>
      <w:bookmarkStart w:id="139"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7"/>
      <w:r/>
      <w:bookmarkEnd w:id="138"/>
      <w:r/>
      <w:bookmarkEnd w:id="139"/>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8"/>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98"/>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26.7投标人在开、评标全过程中应保持通讯畅通，及时登录苏采云系统查阅、答复相关信息，并安排专人与采购中心及评标委员会联系。</w:t>
      </w:r>
      <w:r/>
    </w:p>
    <w:p>
      <w:pPr>
        <w:pStyle w:val="898"/>
        <w:ind w:firstLine="42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0" w:name="_Toc513029235"/>
      <w:r/>
      <w:bookmarkStart w:id="141" w:name="_Toc16938551"/>
      <w:r/>
      <w:bookmarkStart w:id="142" w:name="_Toc20823307"/>
      <w:r>
        <w:rPr>
          <w:rFonts w:hint="eastAsia" w:ascii="宋体" w:hAnsi="宋体" w:eastAsia="宋体" w:cs="宋体"/>
          <w:color w:val="auto"/>
          <w:sz w:val="24"/>
          <w:szCs w:val="24"/>
          <w:highlight w:val="none"/>
        </w:rPr>
        <w:t xml:space="preserve">27.1无效投标条款</w:t>
      </w:r>
      <w:bookmarkEnd w:id="140"/>
      <w:r/>
      <w:bookmarkEnd w:id="141"/>
      <w:r/>
      <w:bookmarkEnd w:id="142"/>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98"/>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98"/>
        <w:ind w:left="479"/>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98"/>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lang w:eastAsia="zh-CN"/>
        </w:rPr>
        <w:t xml:space="preserve">。</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27.1.10评标委员会认为投标人的报价明显低</w:t>
      </w:r>
      <w:r>
        <w:rPr>
          <w:rFonts w:hint="eastAsia" w:ascii="宋体" w:hAnsi="宋体" w:eastAsia="宋体" w:cs="宋体"/>
          <w:color w:val="auto"/>
          <w:sz w:val="24"/>
          <w:szCs w:val="24"/>
          <w:highlight w:val="none"/>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27.1.11投标文件未按照招标文件要求加盖CA电子公章的。</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其他法律、法规及本招标文件规定的属无效投标的情形。</w:t>
      </w:r>
      <w:r/>
    </w:p>
    <w:p>
      <w:pPr>
        <w:pStyle w:val="898"/>
        <w:ind w:firstLine="480"/>
        <w:jc w:val="both"/>
        <w:pageBreakBefore w:val="0"/>
        <w:spacing w:beforeAutospacing="0" w:afterAutospacing="0" w:line="360" w:lineRule="auto"/>
        <w:widowControl w:val="off"/>
        <w:rPr>
          <w:rFonts w:hint="eastAsia" w:ascii="宋体" w:hAnsi="宋体" w:eastAsia="宋体" w:cs="宋体"/>
          <w:color w:val="ff0000"/>
          <w:sz w:val="24"/>
          <w:szCs w:val="24"/>
          <w:highlight w:val="yellow"/>
        </w:rPr>
      </w:pPr>
      <w:r>
        <w:rPr>
          <w:rFonts w:hint="eastAsia" w:ascii="宋体" w:hAnsi="宋体" w:eastAsia="宋体" w:cs="宋体"/>
          <w:color w:val="ff0000"/>
          <w:sz w:val="24"/>
          <w:szCs w:val="24"/>
          <w:highlight w:val="none"/>
        </w:rPr>
        <w:t xml:space="preserve">27.1.13</w:t>
      </w:r>
      <w:r>
        <w:rPr>
          <w:rFonts w:hint="eastAsia" w:ascii="宋体" w:hAnsi="宋体" w:eastAsia="宋体" w:cs="宋体"/>
          <w:color w:val="ff0000"/>
          <w:sz w:val="24"/>
          <w:szCs w:val="24"/>
          <w:highlight w:val="none"/>
          <w:lang w:val="en-US" w:eastAsia="zh-CN"/>
        </w:rPr>
        <w:t xml:space="preserve">带★的参数为本项目基本需求，须提供佐证材料（技术白皮书或第三方检测证明或厂家发布的彩页等），标明页码并明显标注，不得负偏离，否则作无效标处理。</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因苏采云系统系统故障原因造成开标不成功的。</w:t>
      </w:r>
      <w:r/>
    </w:p>
    <w:p>
      <w:pPr>
        <w:pStyle w:val="898"/>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98"/>
        <w:ind w:firstLine="482"/>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43" w:name="_Toc120614219"/>
      <w:r>
        <w:rPr>
          <w:rFonts w:hint="eastAsia" w:ascii="宋体" w:hAnsi="宋体" w:eastAsia="宋体" w:cs="宋体"/>
          <w:b/>
          <w:color w:val="000000"/>
          <w:sz w:val="24"/>
          <w:szCs w:val="24"/>
          <w:highlight w:val="none"/>
        </w:rPr>
        <w:t xml:space="preserve">六、定标</w:t>
      </w:r>
      <w:bookmarkEnd w:id="143"/>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4" w:name="_Toc20823310"/>
      <w:r/>
      <w:bookmarkStart w:id="145" w:name="_Toc16938554"/>
      <w:r/>
      <w:bookmarkStart w:id="146" w:name="_Toc513029238"/>
      <w:r>
        <w:rPr>
          <w:rFonts w:hint="eastAsia" w:ascii="宋体" w:hAnsi="宋体" w:eastAsia="宋体" w:cs="宋体"/>
          <w:color w:val="000000"/>
          <w:sz w:val="24"/>
          <w:szCs w:val="24"/>
          <w:highlight w:val="none"/>
        </w:rPr>
        <w:t xml:space="preserve">28、</w:t>
      </w:r>
      <w:bookmarkEnd w:id="144"/>
      <w:r>
        <w:rPr>
          <w:rFonts w:hint="eastAsia" w:ascii="宋体" w:hAnsi="宋体" w:eastAsia="宋体" w:cs="宋体"/>
          <w:color w:val="000000"/>
          <w:sz w:val="24"/>
          <w:szCs w:val="24"/>
          <w:highlight w:val="none"/>
        </w:rPr>
        <w:t xml:space="preserve">确定</w:t>
      </w:r>
      <w:bookmarkEnd w:id="145"/>
      <w:r/>
      <w:bookmarkEnd w:id="146"/>
      <w:r>
        <w:rPr>
          <w:rFonts w:hint="eastAsia" w:ascii="宋体" w:hAnsi="宋体" w:eastAsia="宋体" w:cs="宋体"/>
          <w:color w:val="000000"/>
          <w:sz w:val="24"/>
          <w:szCs w:val="24"/>
          <w:highlight w:val="none"/>
        </w:rPr>
        <w:t xml:space="preserve">中标单位</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7" w:name="_Toc200451960"/>
      <w:r>
        <w:rPr>
          <w:rFonts w:hint="eastAsia" w:ascii="宋体" w:hAnsi="宋体" w:eastAsia="宋体" w:cs="宋体"/>
          <w:color w:val="000000"/>
          <w:sz w:val="24"/>
          <w:szCs w:val="24"/>
          <w:highlight w:val="none"/>
        </w:rPr>
        <w:t xml:space="preserve">28.5有下列情形之一的，视为投标人串通投标，投标无效：</w:t>
      </w:r>
      <w:bookmarkEnd w:id="147"/>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color w:val="000000"/>
          <w:sz w:val="24"/>
          <w:szCs w:val="24"/>
          <w:highlight w:val="none"/>
          <w:lang w:eastAsia="zh-CN"/>
        </w:rPr>
        <w:t xml:space="preserve">。</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采购人及采购中心只接收以纸质原件形式送达的质疑,采购人和采购中心不接受未填写快递运单的快件。采购代理机构质疑接收部门为受理处，联系地址：</w:t>
      </w:r>
      <w:r>
        <w:rPr>
          <w:rFonts w:hint="eastAsia" w:ascii="宋体" w:hAnsi="宋体" w:eastAsia="宋体" w:cs="宋体"/>
          <w:color w:val="auto"/>
          <w:sz w:val="24"/>
          <w:szCs w:val="24"/>
          <w:highlight w:val="none"/>
          <w:lang w:val="en-US" w:eastAsia="zh-CN"/>
        </w:rPr>
        <w:t xml:space="preserve">盐城市大丰区大中街道黄海东路8号</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19851500287</w:t>
      </w:r>
      <w:r>
        <w:rPr>
          <w:rFonts w:hint="eastAsia" w:ascii="宋体" w:hAnsi="宋体" w:eastAsia="宋体" w:cs="宋体"/>
          <w:color w:val="auto"/>
          <w:sz w:val="24"/>
          <w:szCs w:val="24"/>
          <w:highlight w:val="none"/>
        </w:rPr>
        <w:t xml:space="preserve">。</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98"/>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98"/>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8"/>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148" w:name="_Toc20823308"/>
      <w:r/>
      <w:bookmarkStart w:id="149" w:name="_Toc513029236"/>
      <w:r/>
      <w:bookmarkStart w:id="150" w:name="_Toc16938552"/>
      <w:r/>
      <w:bookmarkStart w:id="151" w:name="_Toc120614220"/>
      <w:r>
        <w:rPr>
          <w:rFonts w:hint="eastAsia" w:ascii="宋体" w:hAnsi="宋体" w:eastAsia="宋体" w:cs="宋体"/>
          <w:b/>
          <w:color w:val="000000"/>
          <w:sz w:val="24"/>
          <w:szCs w:val="24"/>
          <w:highlight w:val="none"/>
        </w:rPr>
        <w:t xml:space="preserve">七、授予合同</w:t>
      </w:r>
      <w:bookmarkEnd w:id="148"/>
      <w:r/>
      <w:bookmarkEnd w:id="149"/>
      <w:r/>
      <w:bookmarkEnd w:id="150"/>
      <w:r/>
      <w:bookmarkEnd w:id="151"/>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2" w:name="_Toc16938553"/>
      <w:r/>
      <w:bookmarkStart w:id="153" w:name="_Toc513029237"/>
      <w:r/>
      <w:bookmarkStart w:id="154" w:name="_Toc20823309"/>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bookmarkEnd w:id="152"/>
      <w:r/>
      <w:bookmarkEnd w:id="153"/>
      <w:r/>
      <w:bookmarkEnd w:id="154"/>
      <w:r/>
      <w:r/>
    </w:p>
    <w:p>
      <w:pPr>
        <w:pStyle w:val="898"/>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日内，按照招标文件确定的事项与采购人签订政府采购合同。</w:t>
      </w:r>
      <w:r/>
    </w:p>
    <w:p>
      <w:pPr>
        <w:pStyle w:val="898"/>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p>
    <w:p>
      <w:pPr>
        <w:pStyle w:val="898"/>
        <w:ind w:firstLine="60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98"/>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8"/>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98"/>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98"/>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908"/>
        <w:ind w:left="0" w:firstLine="56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本项目落实预付款制度，预付款比例为_</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_%。在签订合同时，中标、成交供应商明确书面表示无需预付款或者主动要求降低预付款比例的，采购人可就预付款比例作相应调整。</w:t>
      </w:r>
      <w:r/>
    </w:p>
    <w:p>
      <w:pPr>
        <w:pStyle w:val="90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0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9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rFonts w:ascii="宋体" w:hAnsi="宋体" w:cs="宋体"/>
          <w:b/>
          <w:sz w:val="48"/>
          <w:szCs w:val="44"/>
          <w:highlight w:val="none"/>
        </w:rPr>
      </w:pPr>
      <w:r>
        <w:rPr>
          <w:rFonts w:hint="eastAsia" w:ascii="宋体" w:hAnsi="宋体" w:eastAsia="宋体" w:cs="宋体"/>
          <w:sz w:val="24"/>
          <w:szCs w:val="24"/>
          <w:highlight w:val="none"/>
        </w:rPr>
        <w:t xml:space="preserve"> </w:t>
      </w:r>
      <w:bookmarkStart w:id="155" w:name="_Toc479757211"/>
      <w:r/>
      <w:bookmarkStart w:id="156" w:name="_Toc120614244"/>
      <w:r/>
      <w:bookmarkStart w:id="157" w:name="_Toc16938590"/>
      <w:r/>
      <w:bookmarkStart w:id="158" w:name="_Hlt16619350"/>
      <w:r/>
      <w:bookmarkStart w:id="159" w:name="_Toc20823346"/>
      <w:r/>
      <w:bookmarkStart w:id="160" w:name="_Toc462564139"/>
      <w:r/>
      <w:bookmarkStart w:id="161"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bookmarkStart w:id="162" w:name="_Toc20313"/>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采购人（甲方）：</w:t>
      </w:r>
      <w:r>
        <w:rPr>
          <w:rFonts w:hint="eastAsia" w:ascii="宋体" w:hAnsi="宋体" w:eastAsia="宋体" w:cs="宋体"/>
          <w:sz w:val="24"/>
          <w:szCs w:val="24"/>
          <w:u w:val="single"/>
        </w:rPr>
        <w:t xml:space="preserve">盐城市大丰中医院（盐城市大丰区老年医院）</w:t>
      </w:r>
      <w:r/>
    </w:p>
    <w:p>
      <w:pPr>
        <w:pStyle w:val="895"/>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供应商（乙方）：</w:t>
      </w:r>
      <w:r>
        <w:rPr>
          <w:rFonts w:hint="eastAsia" w:ascii="宋体" w:hAnsi="宋体" w:eastAsia="宋体" w:cs="宋体"/>
          <w:sz w:val="24"/>
          <w:szCs w:val="24"/>
          <w:u w:val="single"/>
        </w:rPr>
        <w:t xml:space="preserve">                          </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项目事宜，依据招标文件及乙方的投标文件和中标通知书，签订本合同书。</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一、货物内容</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u w:val="single"/>
        </w:rPr>
        <w:t xml:space="preserve">                                   </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2、技术参数：</w:t>
      </w:r>
      <w:r>
        <w:rPr>
          <w:rFonts w:hint="eastAsia" w:ascii="宋体" w:hAnsi="宋体" w:eastAsia="宋体" w:cs="宋体"/>
          <w:sz w:val="24"/>
          <w:szCs w:val="24"/>
          <w:u w:val="single"/>
        </w:rPr>
        <w:t xml:space="preserve">按招标文件和投标文件中最优参数确定</w:t>
      </w:r>
      <w:r/>
    </w:p>
    <w:p>
      <w:pPr>
        <w:pStyle w:val="895"/>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4、采购数量：</w:t>
      </w:r>
      <w:r>
        <w:rPr>
          <w:rFonts w:hint="eastAsia" w:ascii="宋体" w:hAnsi="宋体" w:eastAsia="宋体" w:cs="宋体"/>
          <w:sz w:val="24"/>
          <w:szCs w:val="24"/>
          <w:u w:val="single"/>
        </w:rPr>
        <w:t xml:space="preserve">                     </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本合同含税价总额为：</w:t>
      </w:r>
      <w:r>
        <w:rPr>
          <w:rFonts w:hint="eastAsia" w:ascii="宋体" w:hAnsi="宋体" w:eastAsia="宋体" w:cs="宋体"/>
          <w:sz w:val="24"/>
          <w:szCs w:val="24"/>
          <w:u w:val="single"/>
        </w:rPr>
        <w:t xml:space="preserve">（大写）             (小写：              元)</w:t>
      </w:r>
      <w:r>
        <w:rPr>
          <w:rFonts w:hint="eastAsia" w:ascii="宋体" w:hAnsi="宋体" w:eastAsia="宋体" w:cs="宋体"/>
          <w:sz w:val="24"/>
          <w:szCs w:val="24"/>
        </w:rPr>
        <w:t xml:space="preserve">。</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总价为为完成本项目可能发生的全部费用及利润和税金等（包括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三、质量要求</w:t>
      </w:r>
      <w:r>
        <w:rPr>
          <w:rFonts w:hint="eastAsia" w:ascii="宋体" w:hAnsi="宋体" w:eastAsia="宋体" w:cs="宋体"/>
          <w:b/>
          <w:bCs/>
          <w:sz w:val="24"/>
          <w:szCs w:val="24"/>
          <w:lang w:eastAsia="zh-CN"/>
        </w:rPr>
        <w:t xml:space="preserve">及设备到货、安装和验收要求</w:t>
      </w:r>
      <w:r/>
    </w:p>
    <w:p>
      <w:pPr>
        <w:pStyle w:val="895"/>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要求：相关质量验收规范合格标准，验收执行国家或行业最新标准、招标文件各项技术参数指标、投标文件投标承诺所达到的各项技术参数指标（招标文件、投标文件、国家或行业标准不一致处以最高标准执行）。</w:t>
      </w:r>
      <w:r/>
    </w:p>
    <w:p>
      <w:pPr>
        <w:pStyle w:val="895"/>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特别提醒条款：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pStyle w:val="895"/>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乙方保证向甲方提供的设备满足中国国家标准或相关行业标准。根据国家规定，如需提供3C认证证书和标记的设备及有关配置，必须提供上述证书和标记。</w:t>
      </w:r>
      <w:r/>
    </w:p>
    <w:p>
      <w:pPr>
        <w:numPr>
          <w:ilvl w:val="0"/>
          <w:numId w:val="0"/>
        </w:numPr>
        <w:ind w:firstLine="480"/>
        <w:spacing w:line="380" w:lineRule="exact"/>
        <w:tabs>
          <w:tab w:val="left" w:pos="396"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color w:val="000000"/>
          <w:sz w:val="24"/>
          <w:szCs w:val="24"/>
        </w:rPr>
        <w:t xml:space="preserve">乙方保证所供设备是全新、未使用过的原包装产品，</w:t>
      </w:r>
      <w:r>
        <w:rPr>
          <w:rFonts w:hint="eastAsia" w:ascii="宋体" w:hAnsi="宋体" w:eastAsia="宋体" w:cs="宋体"/>
          <w:b/>
          <w:color w:val="000000"/>
          <w:sz w:val="24"/>
          <w:szCs w:val="24"/>
        </w:rPr>
        <w:t xml:space="preserve">进口设备出厂日期不得早于到货日期陆个月（或180天），国产设备出厂日期不得早于到货日期叁个月（或90天）。</w:t>
      </w:r>
      <w:r>
        <w:rPr>
          <w:rFonts w:hint="eastAsia" w:ascii="宋体" w:hAnsi="宋体" w:eastAsia="宋体" w:cs="宋体"/>
          <w:color w:val="000000"/>
          <w:sz w:val="24"/>
          <w:szCs w:val="24"/>
        </w:rPr>
        <w:t xml:space="preserve">乙方须保证所供产品质量合格，不得弄虚作假、不得提供假冒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纠纷，乙方承担全部的法律和经济责任。</w:t>
      </w:r>
      <w:r/>
    </w:p>
    <w:p>
      <w:pPr>
        <w:pStyle w:val="895"/>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乙方所供设备如验收不合格，根据甲方的要求，乙方必须无条件换货或退货，由此引起的一切损失由乙方承担。</w:t>
      </w:r>
      <w:r/>
    </w:p>
    <w:p>
      <w:pPr>
        <w:pStyle w:val="895"/>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b/>
          <w:sz w:val="24"/>
          <w:szCs w:val="24"/>
        </w:rPr>
        <w:t xml:space="preserve">设备到货、安装和验收要求</w:t>
      </w:r>
      <w:r/>
    </w:p>
    <w:p>
      <w:pPr>
        <w:pStyle w:val="895"/>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设备到货时间，请乙方提前一周通知甲方（联系人：李晓玲，电话13645102609），甲方可安排好交接工作。设备到达甲方医院时，乙方代表必须随机到达，由乙方负责卸货并搬运至甲方指定的地点，待设备搬运完毕后，甲乙双方办理交接手续。如未按上述规定执行，造成的一切后果全部由乙方承担。</w:t>
      </w:r>
      <w:r/>
    </w:p>
    <w:p>
      <w:pPr>
        <w:pStyle w:val="895"/>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2.2如乙方提供的设备设有维修软件密码，乙方应保证无条件为甲方永久免费开放，且软件需终身免费升级；乙方同时免费提供中标设备的所有通讯接口并连接到医院相对应的系统。</w:t>
      </w:r>
      <w:r/>
    </w:p>
    <w:p>
      <w:pPr>
        <w:pStyle w:val="895"/>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设备安装、调试结束后，甲方对设备使用后进行验收（时间由甲、乙双方商定），乙方免费派工程师到达现场协助验收工作。甲方将对技术规格要求的指标进行逐一核实验收，如发现虚假应标，或无法实现关键技术指标功能，有权拒收，给甲方造成损失的由乙方承担一切责任。</w:t>
      </w:r>
      <w:r/>
    </w:p>
    <w:p>
      <w:pPr>
        <w:pStyle w:val="895"/>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2.4保修期自甲方验收合格之日算起。</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四、合同文件构成：</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（1）招标文件；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（3）投标文件；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（4）技术标准和要求；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（5）已标价报价明细表；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（6）其他文件。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五、技术资料</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1、乙方应按招标文件规定的时间向甲方提供使用货物的有关技术资料。</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没有甲方事先书面同意，乙方不得将由采购人提供的有关合同或任何合同条文、规格、样品或资料提供给与履行本合同无关的任何其他人。即使向履行本合同有关的人员提供，也应注意保密并限于履行合同的必需范围。</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六、知识产权</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乙方应保证所提供的货物或其任何一部分均不会侵犯任何第三方的知识产权。</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若发生侵害第三方权利的情况，由乙方独立负责与第三方交涉并承担由此产生的全部法律和经济责任；如果甲方因使用该货物而导致被第三方追诉，有权向乙方主张权利以及要求其承担由此造成的损失。</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七、产权担保</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乙方保证所交付的货物的所有权完全属于供应商且无任何抵押、查封等产权瑕疵。</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八、履约保证金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2</w:t>
      </w:r>
      <w:r>
        <w:rPr>
          <w:rFonts w:hint="eastAsia" w:hAnsi="宋体" w:eastAsia="宋体" w:cs="宋体"/>
          <w:sz w:val="24"/>
          <w:szCs w:val="24"/>
          <w:lang w:eastAsia="zh-CN"/>
        </w:rPr>
        <w:t xml:space="preserve">、</w:t>
      </w:r>
      <w:r>
        <w:rPr>
          <w:rFonts w:hint="eastAsia" w:ascii="宋体" w:hAnsi="宋体" w:eastAsia="宋体" w:cs="宋体"/>
          <w:sz w:val="24"/>
          <w:szCs w:val="24"/>
        </w:rPr>
        <w:t xml:space="preserve">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mw.jsdzbh.com)在线申请履约保函(保险)。</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履约保证金的退还：</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3.1</w:t>
      </w:r>
      <w:r>
        <w:rPr>
          <w:rFonts w:hint="eastAsia" w:ascii="宋体" w:hAnsi="宋体" w:eastAsia="宋体" w:cs="宋体"/>
          <w:sz w:val="24"/>
          <w:szCs w:val="24"/>
        </w:rPr>
        <w:t xml:space="preserve">方式：无息退还至乙方缴纳履约保证金的账户。如为保函，在到期时自行失效。</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3.2</w:t>
      </w:r>
      <w:r>
        <w:rPr>
          <w:rFonts w:hint="eastAsia" w:ascii="宋体" w:hAnsi="宋体" w:eastAsia="宋体" w:cs="宋体"/>
          <w:sz w:val="24"/>
          <w:szCs w:val="24"/>
        </w:rPr>
        <w:t xml:space="preserve">时间：验收合格且甲方收到发票后30日内。</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3.3</w:t>
      </w:r>
      <w:r>
        <w:rPr>
          <w:rFonts w:hint="eastAsia" w:ascii="宋体" w:hAnsi="宋体" w:eastAsia="宋体" w:cs="宋体"/>
          <w:sz w:val="24"/>
          <w:szCs w:val="24"/>
        </w:rPr>
        <w:t xml:space="preserve">条件：</w:t>
      </w:r>
      <w:r>
        <w:rPr>
          <w:rFonts w:hint="eastAsia" w:ascii="宋体" w:hAnsi="宋体" w:eastAsia="宋体" w:cs="宋体"/>
          <w:sz w:val="24"/>
          <w:szCs w:val="24"/>
          <w:lang w:eastAsia="zh-CN"/>
        </w:rPr>
        <w:t xml:space="preserve">项目经甲方验收合格并签字确认</w:t>
      </w:r>
      <w:r>
        <w:rPr>
          <w:rFonts w:hint="eastAsia" w:ascii="宋体" w:hAnsi="宋体" w:eastAsia="宋体" w:cs="宋体"/>
          <w:sz w:val="24"/>
          <w:szCs w:val="24"/>
        </w:rPr>
        <w:t xml:space="preserve">。</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hAnsi="宋体" w:eastAsia="宋体" w:cs="宋体"/>
          <w:sz w:val="24"/>
          <w:szCs w:val="24"/>
          <w:lang w:val="en-US" w:eastAsia="zh-CN"/>
        </w:rPr>
        <w:t xml:space="preserve">3.4</w:t>
      </w:r>
      <w:r>
        <w:rPr>
          <w:rFonts w:hint="eastAsia" w:ascii="宋体" w:hAnsi="宋体" w:eastAsia="宋体" w:cs="宋体"/>
          <w:sz w:val="24"/>
          <w:szCs w:val="24"/>
        </w:rPr>
        <w:t xml:space="preserve">不予退还情形：</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（2）乙方不履行与甲方订立的合同的；</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（3）乙方所供货物或服务不符合招标文件规定要求的；</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（4）乙方采取欺骗、弄虚作假方式投标的或与其它投标人串通投标的；</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（5）乙方将合同内容转包、违法分包的；</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（6）乙方故意捏造事实或伪造证明材料，进行虚假恶意投诉或反映的。</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九、转包或分包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1、本合同范围的货物，应由乙方直接供应，不得转让他人供应；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2、除非得到甲方的书面同意，乙方不得将本合同范围的货物全部或部分分包给他人供应；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3、如有转让和未经甲方同意的分包行为，甲方有权单方解除合同，不返还履约保证金并追究乙方的违约责任。</w:t>
      </w:r>
      <w:r/>
    </w:p>
    <w:p>
      <w:pPr>
        <w:pStyle w:val="89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十、合同履行期、交货方式及交货地点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1、合同履行期：</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日历天。自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日止，在此期限内，甲方按照合同要求对所有货物逐项进行验收，如有任何不满足项可责成乙方在三日内整改；整个项目逾期未完成或未按期整改到位的均视为违约。</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2、交货方式：</w:t>
      </w:r>
      <w:r>
        <w:rPr>
          <w:rFonts w:hint="eastAsia" w:ascii="宋体" w:hAnsi="宋体" w:eastAsia="宋体" w:cs="宋体"/>
          <w:sz w:val="24"/>
          <w:szCs w:val="24"/>
          <w:lang w:eastAsia="zh-CN"/>
        </w:rPr>
        <w:t xml:space="preserve">全部货物到现场安装调试完毕并经验收合格后交付给甲方，并经甲方签字确认</w:t>
      </w:r>
      <w:r>
        <w:rPr>
          <w:rFonts w:hint="eastAsia" w:ascii="宋体" w:hAnsi="宋体" w:eastAsia="宋体" w:cs="宋体"/>
          <w:sz w:val="24"/>
          <w:szCs w:val="24"/>
        </w:rPr>
        <w:t xml:space="preserve">。</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3、交货地点：甲方指定地点。</w:t>
      </w:r>
      <w:r/>
    </w:p>
    <w:p>
      <w:pPr>
        <w:pStyle w:val="895"/>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4、保证货物使用及维修所需的全套技术资料和文件，至少应包括以下内容：货物清单；出厂合格证；操作的标识和中文标注；使用中文说明书；使用维修保养中文说明书</w:t>
      </w:r>
      <w:r>
        <w:rPr>
          <w:rFonts w:hint="eastAsia"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5、其他必备材料和必备工具、货物等。</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十一、付款方式及结算方式：</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付款方式：</w:t>
      </w:r>
      <w:r>
        <w:rPr>
          <w:rFonts w:hint="eastAsia" w:ascii="宋体" w:hAnsi="宋体" w:eastAsia="宋体" w:cs="宋体"/>
          <w:b/>
          <w:bCs/>
          <w:sz w:val="24"/>
          <w:szCs w:val="24"/>
          <w:lang w:eastAsia="zh-CN"/>
        </w:rPr>
        <w:t xml:space="preserve">本项目预付款为合同价的30%，在签订合同时，乙方明确书面表示无需预付款或者主动要求降低预付款比例的，甲方可就预付款比例作相应调整。货物安装调试完成并经甲方验收合格后付至合同价款的50%，验收合格满一年后付至合同价款的90%，余款待验收合格满四年后付清。（第一次付款时乙方须提供合法有效的全额税务发票。甲方收到乙方发票按合同支付方式支付）。</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结算方式：结算价=中标单价*实际采购货物数量。</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十二、税费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本合同执行中相关的一切税费均由乙方负担。</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十三、质量保证及售后服务</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保修范围包括合同中所有配置。并确保设备保修期内开机率≥95%，如设备故障停机率超过5%（一年按365天计算，每年18天），逾期修复设备的，每超过一天，保修期延长7天，甲方有权扣减500元/天，不足一天按一天计。</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设备发生故障，乙方在接到甲方报修电话后30分钟响应，12小时赶到现场，24小时内修复或提供备用机，否则甲方可自行采取必要的措施，由此产生的风险和费用由乙方承担。如有特殊情况，乙方应立即电话通知甲方不能响应的原因，在获得甲方同意后，才可推迟响应时间。</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3、保修期内每年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次定期维护，并经甲方签字确认，留档备查。</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无论在保修期内还是保修期外，乙方必须上门维修，乙方工程师至甲方维修本设备，必须事先与甲方医疗器械科取得联系，并做相应登记；在维修过程中与甲方工程师共同完成维修工作。否则引起的一切责任由乙方负责。</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5．如设备软件升级，乙方负责免费软件升级，保证软件为最新、最高版本。</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6．如有设备具有远程维修诊断功能，乙方负责免费为甲方安装。</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8．如乙方提供的设备设有维修软件密码，乙方保证无条件地为甲方永久免费打开。</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9、如在质保期内使用过程中发生质量问题，凡属一切自身质量缺陷所造成运行故障均免费维修或免费更换。</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10、本项目质保期为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年（根据投标人承诺时间），质保期自项目验收合格之日起计算。</w:t>
      </w:r>
      <w:r/>
    </w:p>
    <w:p>
      <w:pPr>
        <w:ind w:firstLine="482"/>
        <w:spacing w:line="400" w:lineRule="exact"/>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十四、违约责任</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1、按该项目供货期要求,乙方逾期交付</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甲方将扣除履约保证金</w:t>
      </w:r>
      <w:r>
        <w:rPr>
          <w:rFonts w:hint="eastAsia" w:ascii="宋体" w:hAnsi="宋体" w:eastAsia="宋体" w:cs="宋体"/>
          <w:sz w:val="24"/>
          <w:szCs w:val="24"/>
        </w:rPr>
        <w:t xml:space="preserve">，逾期超过约定供货期10个工作日不能交货的，甲方有权单方解除合同且无须向乙方承担任何责任。乙方因逾期交货或因其他违约行为导致甲方解除合同的，乙方应向甲方支付该合同总值</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%的违约金，如造成甲方损失超过违约金的，超出部分由乙方继续赔偿。</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所交付的货物品种、型号、规格、技术参数、质量不符合合同规定及招标文件规定标准的，甲方有权拒收该批货物并可单方面解除合同，同时扣除履约保证金。乙方如有虚假响应、以次充好等行为，甲方有权将该单位移送相关主管部门处理，同时乙方应向甲方支付不少于合同总价30%的赔偿金。</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乙方在供货期间如发生安全事故，一切经济责任和法律责任皆由乙方承担。</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、在合同履行过程中若有一方违反本合同约定，违约方除承担违约责任赔偿外，还需承担守约方维权产生的费用包括但不限于诉讼费、保全费、保全保险费、律师费等一切费用。</w:t>
      </w:r>
      <w:r/>
    </w:p>
    <w:p>
      <w:pPr>
        <w:ind w:firstLine="482"/>
        <w:spacing w:line="400" w:lineRule="exact"/>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十五、不可抗力事件处理</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spacing w:line="400" w:lineRule="exact"/>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十六、争议解决</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双方在执行合同中所发生的一切争议，应通过协商解决。如协商不成，甲乙双方均有权向甲方所在地盐城市大丰区人民法院提起诉讼。</w:t>
      </w:r>
      <w:r/>
    </w:p>
    <w:p>
      <w:pPr>
        <w:ind w:firstLine="482"/>
        <w:spacing w:line="400" w:lineRule="exact"/>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十七、合同生效及其他</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1、合同经双方法定代表人或授权代表签字并加盖单位公章后生效。</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2、甲方保留适度调整采购需求的权利，本项目最终按实际到场货物数量、乙方的投标单价结算。</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3、本合同未尽事宜，遵照《中华人民共和国民法典》有关条文执行。</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4、本合同正本一式陆份，具有同等法律效力，甲乙双方各执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其余贰</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用于资料装订</w:t>
      </w:r>
      <w:r>
        <w:rPr>
          <w:rFonts w:hint="eastAsia" w:ascii="宋体" w:hAnsi="宋体" w:eastAsia="宋体" w:cs="宋体"/>
          <w:sz w:val="24"/>
          <w:szCs w:val="24"/>
        </w:rPr>
        <w:t xml:space="preserve">。</w:t>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9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pStyle w:val="895"/>
        <w:ind w:firstLine="480"/>
        <w:keepLines w:val="0"/>
        <w:keepNext w:val="0"/>
        <w:pageBreakBefore w:val="0"/>
        <w:spacing w:line="360" w:lineRule="auto"/>
        <w:widowControl w:val="off"/>
        <w:tabs>
          <w:tab w:val="left" w:pos="4962" w:leader="none"/>
        </w:tabs>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w:t>
      </w:r>
      <w:r/>
    </w:p>
    <w:p>
      <w:pPr>
        <w:pStyle w:val="895"/>
        <w:ind w:firstLine="480"/>
        <w:keepLines w:val="0"/>
        <w:keepNext w:val="0"/>
        <w:pageBreakBefore w:val="0"/>
        <w:spacing w:line="360" w:lineRule="auto"/>
        <w:widowControl w:val="off"/>
        <w:tabs>
          <w:tab w:val="left" w:pos="4962" w:leader="none"/>
        </w:tabs>
        <w:rPr>
          <w:rFonts w:hint="eastAsia" w:ascii="宋体" w:hAnsi="宋体" w:eastAsia="宋体" w:cs="宋体"/>
          <w:sz w:val="24"/>
          <w:szCs w:val="24"/>
        </w:rPr>
      </w:pPr>
      <w:r>
        <w:rPr>
          <w:rFonts w:hint="eastAsia" w:ascii="宋体" w:hAnsi="宋体" w:eastAsia="宋体" w:cs="宋体"/>
          <w:sz w:val="24"/>
          <w:szCs w:val="24"/>
        </w:rPr>
        <w:t xml:space="preserve">签字日期：      年  月  日               签字日期：      年  月  日</w:t>
      </w:r>
      <w:r/>
    </w:p>
    <w:p>
      <w:pPr>
        <w:pStyle w:val="895"/>
        <w:jc w:val="center"/>
        <w:spacing w:after="120"/>
        <w:rPr>
          <w:rFonts w:hint="eastAsia" w:hAnsi="宋体"/>
          <w:b/>
          <w:sz w:val="44"/>
          <w:szCs w:val="44"/>
        </w:rPr>
      </w:pPr>
      <w:r>
        <w:rPr>
          <w:rFonts w:hint="eastAsia" w:hAnsi="宋体"/>
          <w:b/>
          <w:sz w:val="44"/>
          <w:szCs w:val="44"/>
        </w:rPr>
      </w:r>
      <w:r/>
    </w:p>
    <w:p>
      <w:pPr>
        <w:pStyle w:val="895"/>
        <w:jc w:val="center"/>
        <w:spacing w:after="120"/>
        <w:rPr>
          <w:rFonts w:hint="eastAsia" w:hAnsi="宋体"/>
          <w:b/>
          <w:sz w:val="44"/>
          <w:szCs w:val="44"/>
        </w:rPr>
      </w:pPr>
      <w:r>
        <w:rPr>
          <w:rFonts w:hint="eastAsia" w:hAnsi="宋体"/>
          <w:b/>
          <w:sz w:val="44"/>
          <w:szCs w:val="44"/>
        </w:rPr>
      </w:r>
      <w:r/>
    </w:p>
    <w:p>
      <w:pPr>
        <w:pStyle w:val="895"/>
        <w:jc w:val="center"/>
        <w:spacing w:after="120"/>
        <w:rPr>
          <w:rFonts w:hint="eastAsia" w:hAnsi="宋体"/>
          <w:b/>
          <w:sz w:val="44"/>
          <w:szCs w:val="44"/>
        </w:rPr>
      </w:pPr>
      <w:r>
        <w:rPr>
          <w:rFonts w:hint="eastAsia" w:hAnsi="宋体"/>
          <w:b/>
          <w:sz w:val="44"/>
          <w:szCs w:val="44"/>
        </w:rPr>
      </w:r>
      <w:r/>
    </w:p>
    <w:p>
      <w:pPr>
        <w:pStyle w:val="895"/>
        <w:jc w:val="center"/>
        <w:spacing w:after="120"/>
        <w:rPr>
          <w:rFonts w:hint="eastAsia" w:hAnsi="宋体"/>
          <w:b/>
          <w:sz w:val="44"/>
          <w:szCs w:val="44"/>
        </w:rPr>
      </w:pPr>
      <w:r>
        <w:rPr>
          <w:rFonts w:hint="eastAsia" w:hAnsi="宋体"/>
          <w:b/>
          <w:sz w:val="44"/>
          <w:szCs w:val="44"/>
        </w:rPr>
      </w:r>
      <w:r/>
    </w:p>
    <w:p>
      <w:pPr>
        <w:pStyle w:val="895"/>
        <w:jc w:val="both"/>
        <w:spacing w:after="120"/>
        <w:rPr>
          <w:rFonts w:hint="eastAsia" w:hAnsi="宋体"/>
          <w:b/>
          <w:sz w:val="44"/>
          <w:szCs w:val="44"/>
        </w:rPr>
      </w:pPr>
      <w:r>
        <w:rPr>
          <w:rFonts w:hint="eastAsia" w:hAnsi="宋体"/>
          <w:b/>
          <w:sz w:val="44"/>
          <w:szCs w:val="44"/>
        </w:rPr>
      </w:r>
      <w:r/>
    </w:p>
    <w:p>
      <w:pPr>
        <w:pStyle w:val="895"/>
        <w:jc w:val="center"/>
        <w:spacing w:after="120"/>
        <w:rPr>
          <w:rFonts w:hAnsi="宋体"/>
          <w:b/>
          <w:sz w:val="44"/>
          <w:szCs w:val="44"/>
        </w:rPr>
      </w:pPr>
      <w:r>
        <w:rPr>
          <w:rFonts w:hint="eastAsia" w:hAnsi="宋体"/>
          <w:b/>
          <w:sz w:val="44"/>
          <w:szCs w:val="44"/>
        </w:rPr>
        <w:t xml:space="preserve">廉 政 合 同</w:t>
      </w:r>
      <w:r/>
    </w:p>
    <w:p>
      <w:pPr>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盐城市大丰中医院（盐城市大丰区老年医院）</w:t>
      </w:r>
      <w:r/>
    </w:p>
    <w:p>
      <w:pPr>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 </w:t>
      </w:r>
      <w:r>
        <w:rPr>
          <w:rFonts w:hint="eastAsia" w:ascii="宋体" w:hAnsi="宋体" w:eastAsia="宋体" w:cs="宋体"/>
          <w:sz w:val="24"/>
          <w:szCs w:val="24"/>
          <w:u w:val="single"/>
          <w:lang w:val="en-US" w:eastAsia="zh-CN"/>
        </w:rPr>
        <w:t xml:space="preserve">                                      </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为强化抓源治本工作力度，从制度机制上进一步规范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采购行为，杜绝不廉洁行为，特订立本合同，双方遵照执行。</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1、甲方、乙方双方必须严格遵守国家法律、法规、政策及各项廉政规定，恪守职业道德规范。</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2、甲方、乙方双方在具体项目采购行为中，必须严格遵守招投标法规定的原则、方式、程序，保证公平、公正、公开。</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3、甲方、乙方双方不得相互串通，损害国家利益、社会公共利益及其他当事人的合法权益。</w:t>
      </w:r>
      <w:r/>
    </w:p>
    <w:p>
      <w:pPr>
        <w:pStyle w:val="895"/>
        <w:ind w:firstLine="21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6、甲方工作人员及其配偶、子女不得以打“业务牌”等形式变相接受乙方的钱物；乙方不得以打“业务牌”的形式向甲方工作人员及其配偶、子女变相送钱物。</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7、甲方工作人员及其配偶、子女不得在乙方报销应由个人支付的费用或领取报酬；乙方不得为甲方工作人员及其配偶、子女报销应由个人支付的费用或发放报酬。</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违约责任：</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1、甲方发生违约行为，一经查实将视情节轻重对直接责任人进行严肃处理并追究主管人员的责任。</w:t>
      </w:r>
      <w:r/>
    </w:p>
    <w:p>
      <w:pPr>
        <w:pStyle w:val="895"/>
        <w:ind w:firstLine="42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2、乙方发生违约行为，甲方有权解除合同，并将其列入“黑名单”在一定范围内公布，三年内不得参加辖区内的项目采购。　</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20"/>
        <w:pageBreakBefore w:val="0"/>
        <w:spacing w:line="360" w:lineRule="auto"/>
        <w:widowControl w:val="off"/>
        <w:tabs>
          <w:tab w:val="left" w:pos="4962" w:leader="none"/>
        </w:tabs>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签字日期：      年  月  日               签字日期：      年  月  日</w:t>
      </w:r>
      <w:r/>
    </w:p>
    <w:p>
      <w:pPr>
        <w:jc w:val="center"/>
        <w:keepLines/>
        <w:keepNext/>
        <w:pageBreakBefore w:val="0"/>
        <w:spacing w:line="360" w:lineRule="auto"/>
        <w:widowControl w:val="off"/>
        <w:rPr>
          <w:rFonts w:ascii="黑体" w:hAnsi="华文中宋" w:eastAsia="黑体"/>
          <w:sz w:val="24"/>
          <w:highlight w:val="none"/>
        </w:rPr>
        <w:outlineLvl w:val="1"/>
      </w:pPr>
      <w:r>
        <w:rPr>
          <w:rFonts w:hint="eastAsia" w:ascii="宋体" w:hAnsi="宋体" w:eastAsia="宋体" w:cs="宋体"/>
          <w:sz w:val="24"/>
          <w:szCs w:val="24"/>
          <w:highlight w:val="none"/>
        </w:rPr>
        <w:br w:type="page" w:clear="all"/>
      </w:r>
      <w:bookmarkEnd w:id="162"/>
      <w:r/>
      <w:r/>
    </w:p>
    <w:p>
      <w:pPr>
        <w:jc w:val="center"/>
        <w:rPr>
          <w:rFonts w:ascii="宋体" w:hAnsi="宋体"/>
          <w:color w:val="000000"/>
          <w:sz w:val="36"/>
        </w:rPr>
      </w:pPr>
      <w:r/>
      <w:bookmarkStart w:id="163" w:name="MOFFICE_OUTDOC_NTDOC__TITLE"/>
      <w:r>
        <w:rPr>
          <w:rFonts w:ascii="宋体" w:hAnsi="宋体"/>
          <w:color w:val="000000"/>
          <w:sz w:val="36"/>
        </w:rPr>
        <w:t xml:space="preserve">政府采购合同履约验收书</w:t>
      </w:r>
      <w:r/>
    </w:p>
    <w:p>
      <w:pPr>
        <w:ind w:firstLine="480"/>
        <w:jc w:val="left"/>
        <w:spacing w:line="560" w:lineRule="exact"/>
        <w:rPr>
          <w:rFonts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bookmarkEnd w:id="163"/>
      <w:r/>
      <w:r/>
    </w:p>
    <w:tbl>
      <w:tblPr>
        <w:tblStyle w:val="890"/>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jc w:val="center"/>
              <w:rPr>
                <w:rFonts w:ascii="宋体" w:hAnsi="宋体"/>
                <w:b/>
                <w:bCs/>
                <w:color w:val="000000"/>
                <w:sz w:val="24"/>
              </w:rPr>
            </w:pPr>
            <w:r>
              <w:rPr>
                <w:rFonts w:ascii="宋体" w:hAnsi="宋体"/>
                <w:b/>
                <w:bCs/>
                <w:color w:val="000000"/>
                <w:sz w:val="24"/>
              </w:rPr>
              <w:t xml:space="preserve">验收情况和验收意见</w:t>
            </w:r>
            <w:r/>
          </w:p>
          <w:p>
            <w:pPr>
              <w:rPr>
                <w:rFonts w:ascii="宋体" w:hAnsi="宋体"/>
                <w:color w:val="000000"/>
                <w:sz w:val="24"/>
              </w:rPr>
            </w:pPr>
            <w:r>
              <w:rPr>
                <w:rFonts w:ascii="宋体" w:hAnsi="宋体"/>
                <w:color w:val="000000"/>
                <w:sz w:val="24"/>
              </w:rPr>
              <w:t xml:space="preserve">（可另附）</w:t>
            </w:r>
            <w:r/>
          </w:p>
          <w:p>
            <w:pPr>
              <w:ind w:firstLine="480"/>
              <w:rPr>
                <w:rFonts w:ascii="宋体" w:hAnsi="宋体"/>
                <w:color w:val="000000"/>
                <w:sz w:val="24"/>
              </w:rPr>
            </w:pPr>
            <w:r>
              <w:rPr>
                <w:rFonts w:ascii="宋体" w:hAnsi="宋体"/>
                <w:color w:val="000000"/>
                <w:sz w:val="24"/>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jc w:val="lef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p>
          <w:p>
            <w:pPr>
              <w:jc w:val="left"/>
              <w:rPr>
                <w:rFonts w:ascii="宋体" w:hAnsi="宋体"/>
                <w:color w:val="000000"/>
                <w:sz w:val="24"/>
              </w:rPr>
            </w:pPr>
            <w:r>
              <w:rPr>
                <w:rFonts w:ascii="宋体" w:hAnsi="宋体"/>
                <w:color w:val="000000"/>
                <w:sz w:val="24"/>
              </w:rPr>
            </w:r>
            <w:r/>
          </w:p>
          <w:p>
            <w:pPr>
              <w:jc w:val="left"/>
              <w:rPr>
                <w:rFonts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jc w:val="left"/>
              <w:rPr>
                <w:rFonts w:ascii="宋体" w:hAnsi="宋体"/>
                <w:color w:val="000000"/>
                <w:sz w:val="24"/>
              </w:rPr>
            </w:pPr>
            <w:r>
              <w:rPr>
                <w:rFonts w:ascii="宋体" w:hAnsi="宋体"/>
                <w:color w:val="000000"/>
                <w:sz w:val="24"/>
              </w:rPr>
              <w:t xml:space="preserve">供应商确认意见（签章）：</w:t>
            </w:r>
            <w:r/>
          </w:p>
          <w:p>
            <w:pPr>
              <w:jc w:val="left"/>
              <w:rPr>
                <w:rFonts w:ascii="宋体" w:hAnsi="宋体"/>
                <w:color w:val="000000"/>
                <w:sz w:val="24"/>
              </w:rPr>
            </w:pPr>
            <w:r>
              <w:rPr>
                <w:rFonts w:ascii="宋体" w:hAnsi="宋体"/>
                <w:color w:val="000000"/>
                <w:sz w:val="24"/>
              </w:rPr>
            </w:r>
            <w:r/>
          </w:p>
          <w:p>
            <w:pPr>
              <w:jc w:val="left"/>
              <w:rPr>
                <w:rFonts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jc w:val="left"/>
              <w:rPr>
                <w:rFonts w:ascii="宋体" w:hAnsi="宋体"/>
                <w:color w:val="000000"/>
                <w:sz w:val="24"/>
              </w:rPr>
            </w:pPr>
            <w:r>
              <w:rPr>
                <w:rFonts w:ascii="宋体" w:hAnsi="宋体"/>
                <w:color w:val="000000"/>
                <w:sz w:val="24"/>
              </w:rPr>
              <w:t xml:space="preserve">采购人确认意见（签章）：</w:t>
            </w:r>
            <w:r/>
          </w:p>
          <w:p>
            <w:pPr>
              <w:jc w:val="left"/>
              <w:rPr>
                <w:rFonts w:ascii="宋体" w:hAnsi="宋体"/>
                <w:color w:val="000000"/>
                <w:sz w:val="24"/>
              </w:rPr>
            </w:pPr>
            <w:r>
              <w:rPr>
                <w:rFonts w:ascii="宋体" w:hAnsi="宋体"/>
                <w:color w:val="000000"/>
                <w:sz w:val="24"/>
              </w:rPr>
            </w:r>
            <w:r/>
          </w:p>
          <w:p>
            <w:pPr>
              <w:jc w:val="left"/>
              <w:rPr>
                <w:rFonts w:ascii="宋体" w:hAnsi="宋体"/>
                <w:color w:val="000000"/>
                <w:sz w:val="24"/>
              </w:rPr>
            </w:pPr>
            <w:r>
              <w:rPr>
                <w:rFonts w:ascii="宋体" w:hAnsi="宋体"/>
                <w:color w:val="000000"/>
                <w:sz w:val="24"/>
              </w:rPr>
              <w:t xml:space="preserve">　　　　　                              年    月    日</w:t>
            </w:r>
            <w:r/>
          </w:p>
        </w:tc>
      </w:tr>
    </w:tbl>
    <w:p>
      <w:pPr>
        <w:jc w:val="left"/>
        <w:rPr>
          <w:rFonts w:hint="eastAsia" w:ascii="宋体" w:hAnsi="宋体" w:cs="宋体"/>
          <w:szCs w:val="32"/>
        </w:rPr>
      </w:pPr>
      <w:r>
        <w:rPr>
          <w:rFonts w:hint="eastAsia" w:ascii="宋体" w:hAnsi="宋体" w:cs="宋体"/>
          <w:szCs w:val="32"/>
          <w:lang w:val="en-US" w:eastAsia="zh-CN"/>
        </w:rPr>
        <w:t xml:space="preserve">注：对供应商提供的货物、工</w:t>
      </w:r>
      <w:r>
        <w:rPr>
          <w:rFonts w:hint="default" w:ascii="宋体" w:hAnsi="宋体" w:cs="宋体"/>
          <w:szCs w:val="32"/>
          <w:lang w:val="en-US" w:eastAsia="zh-CN"/>
        </w:rPr>
        <w:t xml:space="preserve">程和服务进行逐一核对、验收。对报价异常低且经评审委员会启动相关审查机制后仍中标或成交的供应商，采购人要重点关注其 履约能力、履约承诺、实际履约情况等。</w:t>
      </w:r>
      <w:r/>
    </w:p>
    <w:p>
      <w:pPr>
        <w:pStyle w:val="89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55"/>
      <w:r>
        <w:rPr>
          <w:rFonts w:hint="eastAsia" w:ascii="黑体" w:hAnsi="宋体" w:eastAsia="黑体" w:cs="黑体"/>
          <w:color w:val="000000"/>
          <w:sz w:val="44"/>
          <w:szCs w:val="44"/>
          <w:highlight w:val="none"/>
        </w:rPr>
        <w:t xml:space="preserve">四章 </w:t>
      </w:r>
      <w:bookmarkEnd w:id="156"/>
      <w:r/>
      <w:bookmarkEnd w:id="157"/>
      <w:r/>
      <w:bookmarkEnd w:id="158"/>
      <w:r/>
      <w:bookmarkEnd w:id="159"/>
      <w:r/>
      <w:bookmarkEnd w:id="160"/>
      <w:r>
        <w:rPr>
          <w:rFonts w:hint="eastAsia" w:ascii="黑体" w:hAnsi="宋体" w:eastAsia="黑体" w:cs="黑体"/>
          <w:color w:val="000000"/>
          <w:sz w:val="44"/>
          <w:szCs w:val="44"/>
          <w:highlight w:val="none"/>
        </w:rPr>
        <w:t xml:space="preserve">采购需求</w:t>
      </w:r>
      <w:r/>
    </w:p>
    <w:p>
      <w:pPr>
        <w:pStyle w:val="886"/>
        <w:ind w:firstLine="480"/>
        <w:jc w:val="left"/>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一、项目属性：货物类项目。</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二、采购清单</w:t>
      </w:r>
      <w:r>
        <w:rPr>
          <w:rFonts w:hint="eastAsia" w:ascii="宋体" w:hAnsi="宋体" w:eastAsia="宋体" w:cs="宋体"/>
          <w:bCs/>
          <w:sz w:val="24"/>
          <w:szCs w:val="24"/>
        </w:rPr>
        <w:t xml:space="preserve">（具体要求详见技术参数）</w:t>
      </w:r>
      <w:r>
        <w:rPr>
          <w:rFonts w:hint="eastAsia" w:ascii="宋体" w:hAnsi="宋体" w:eastAsia="宋体" w:cs="宋体"/>
          <w:b/>
          <w:bCs/>
          <w:sz w:val="24"/>
          <w:szCs w:val="24"/>
        </w:rPr>
        <w:t xml:space="preserve">：</w:t>
      </w:r>
      <w:r/>
    </w:p>
    <w:tbl>
      <w:tblPr>
        <w:tblStyle w:val="890"/>
        <w:tblW w:w="9269" w:type="dxa"/>
        <w:tblInd w:w="4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3261"/>
        <w:gridCol w:w="1169"/>
        <w:gridCol w:w="1503"/>
        <w:gridCol w:w="1678"/>
        <w:gridCol w:w="888"/>
      </w:tblGrid>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控制单价（元</w:t>
            </w: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pStyle w:val="898"/>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合价</w:t>
            </w:r>
            <w:r/>
          </w:p>
          <w:p>
            <w:pPr>
              <w:jc w:val="center"/>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lang w:val="en-US" w:eastAsia="zh-CN"/>
              </w:rPr>
              <w:t xml:space="preserve">脉动真空灭菌器</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keepLines w:val="0"/>
              <w:keepNext w:val="0"/>
              <w:pageBreakBefore w:val="0"/>
              <w:spacing w:line="360" w:lineRule="auto"/>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315000.00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315000.00</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lang w:val="en-US" w:eastAsia="zh-CN"/>
              </w:rPr>
              <w:t xml:space="preserve">减压沸腾清洗机</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245000.00</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245000.00</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933"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560000.00</w:t>
            </w:r>
            <w:r/>
          </w:p>
        </w:tc>
      </w:tr>
    </w:tbl>
    <w:p>
      <w:pPr>
        <w:pStyle w:val="898"/>
        <w:numPr>
          <w:ilvl w:val="0"/>
          <w:numId w:val="0"/>
        </w:num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三、</w:t>
      </w:r>
      <w:r>
        <w:rPr>
          <w:rFonts w:hint="eastAsia" w:ascii="宋体" w:hAnsi="宋体" w:eastAsia="宋体" w:cs="宋体"/>
          <w:b/>
          <w:bCs/>
          <w:sz w:val="24"/>
          <w:szCs w:val="24"/>
        </w:rPr>
        <w:t xml:space="preserve">技术参数及功能要求：</w:t>
      </w:r>
      <w:r/>
    </w:p>
    <w:p>
      <w:pPr>
        <w:jc w:val="left"/>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1）脉动真空灭菌器参数</w:t>
      </w:r>
      <w:r/>
    </w:p>
    <w:tbl>
      <w:tblPr>
        <w:tblStyle w:val="890"/>
        <w:tblW w:w="46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2016"/>
        <w:gridCol w:w="6231"/>
      </w:tblGrid>
      <w:tr>
        <w:trPr>
          <w:trHeight w:val="437"/>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一：设备参数及配置</w:t>
            </w:r>
            <w:r/>
          </w:p>
        </w:tc>
      </w:tr>
      <w:tr>
        <w:trPr>
          <w:trHeight w:val="48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color w:val="auto"/>
                <w:sz w:val="21"/>
                <w:szCs w:val="21"/>
                <w:highlight w:val="none"/>
                <w:lang w:val="en-US" w:eastAsia="zh-CN" w:bidi="ar"/>
              </w:rPr>
              <w:t xml:space="preserve">技术要求</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color w:val="auto"/>
                <w:sz w:val="21"/>
                <w:szCs w:val="21"/>
                <w:highlight w:val="none"/>
                <w:lang w:val="en-US" w:eastAsia="zh-CN" w:bidi="ar"/>
              </w:rPr>
              <w:t xml:space="preserve">主体</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Style w:val="916"/>
                <w:rFonts w:hint="eastAsia" w:ascii="宋体" w:hAnsi="宋体" w:eastAsia="宋体" w:cs="宋体"/>
                <w:color w:val="auto"/>
                <w:sz w:val="21"/>
                <w:szCs w:val="21"/>
                <w:highlight w:val="none"/>
                <w:lang w:val="en-US" w:eastAsia="zh-CN" w:bidi="ar"/>
              </w:rPr>
              <w:t xml:space="preserve">容积</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918"/>
                <w:rFonts w:hint="eastAsia" w:ascii="宋体" w:hAnsi="宋体" w:eastAsia="宋体" w:cs="宋体"/>
                <w:color w:val="auto"/>
                <w:sz w:val="21"/>
                <w:szCs w:val="21"/>
                <w:highlight w:val="none"/>
                <w:lang w:val="en-US" w:eastAsia="zh-CN" w:bidi="ar"/>
              </w:rPr>
              <w:t xml:space="preserve">1200L</w:t>
            </w:r>
            <w:r/>
          </w:p>
        </w:tc>
      </w:tr>
      <w:tr>
        <w:trPr>
          <w:trHeight w:val="20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主体结构</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环形加强筋结构</w:t>
            </w:r>
            <w:r/>
          </w:p>
        </w:tc>
      </w:tr>
      <w:tr>
        <w:trPr>
          <w:trHeight w:val="42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焊接工艺</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全自动焊接机器人焊接保证焊缝质量,极大地延长使用寿命</w:t>
            </w:r>
            <w:r/>
          </w:p>
        </w:tc>
      </w:tr>
      <w:tr>
        <w:trPr>
          <w:trHeight w:val="253"/>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Style w:val="916"/>
                <w:rFonts w:hint="eastAsia" w:ascii="宋体" w:hAnsi="宋体" w:eastAsia="宋体" w:cs="宋体"/>
                <w:color w:val="auto"/>
                <w:sz w:val="21"/>
                <w:szCs w:val="21"/>
                <w:highlight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Style w:val="916"/>
                <w:rFonts w:hint="eastAsia" w:ascii="宋体" w:hAnsi="宋体" w:eastAsia="宋体" w:cs="宋体"/>
                <w:color w:val="auto"/>
                <w:sz w:val="21"/>
                <w:szCs w:val="21"/>
                <w:highlight w:val="none"/>
                <w:lang w:val="en-US" w:eastAsia="zh-CN" w:bidi="ar"/>
              </w:rPr>
              <w:t xml:space="preserve">内壳、夹层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316不锈钢</w:t>
            </w:r>
            <w:r>
              <w:rPr>
                <w:rFonts w:hint="eastAsia" w:ascii="宋体" w:hAnsi="宋体" w:cs="宋体"/>
                <w:color w:val="auto"/>
                <w:sz w:val="21"/>
                <w:szCs w:val="21"/>
                <w:highlight w:val="none"/>
                <w:lang w:val="en-US" w:eastAsia="zh-CN"/>
              </w:rPr>
              <w:t xml:space="preserve">（提供产品质量证明书）</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Style w:val="916"/>
                <w:rFonts w:hint="eastAsia" w:ascii="宋体" w:hAnsi="宋体" w:eastAsia="宋体" w:cs="宋体"/>
                <w:strike w:val="0"/>
                <w:color w:val="auto"/>
                <w:sz w:val="21"/>
                <w:szCs w:val="21"/>
                <w:highlight w:val="none"/>
                <w:lang w:val="en-US" w:eastAsia="zh-CN" w:bidi="ar"/>
              </w:rPr>
              <w:t xml:space="preserve">设计压力</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Style w:val="919"/>
                <w:rFonts w:hint="eastAsia" w:ascii="宋体" w:hAnsi="宋体" w:eastAsia="宋体" w:cs="宋体"/>
                <w:strike w:val="0"/>
                <w:color w:val="auto"/>
                <w:sz w:val="21"/>
                <w:szCs w:val="21"/>
                <w:highlight w:val="none"/>
                <w:lang w:val="en-US" w:eastAsia="zh-CN" w:bidi="ar"/>
              </w:rPr>
              <w:t xml:space="preserve">-0.1/0.3Mpa</w:t>
            </w:r>
            <w:r/>
          </w:p>
        </w:tc>
      </w:tr>
      <w:tr>
        <w:trPr>
          <w:trHeight w:val="253"/>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设计温度</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919"/>
                <w:rFonts w:hint="eastAsia" w:ascii="宋体" w:hAnsi="宋体" w:eastAsia="宋体" w:cs="宋体"/>
                <w:color w:val="auto"/>
                <w:sz w:val="21"/>
                <w:szCs w:val="21"/>
                <w:highlight w:val="none"/>
                <w:lang w:val="en-US" w:eastAsia="zh-CN" w:bidi="ar"/>
              </w:rPr>
              <w:t xml:space="preserve">144</w:t>
            </w:r>
            <w:r>
              <w:rPr>
                <w:rStyle w:val="916"/>
                <w:rFonts w:hint="eastAsia" w:ascii="宋体" w:hAnsi="宋体" w:eastAsia="宋体" w:cs="宋体"/>
                <w:color w:val="auto"/>
                <w:sz w:val="21"/>
                <w:szCs w:val="21"/>
                <w:highlight w:val="none"/>
                <w:lang w:val="en-US" w:eastAsia="zh-CN" w:bidi="ar"/>
              </w:rPr>
              <w:t xml:space="preserve">℃</w:t>
            </w:r>
            <w:r/>
          </w:p>
        </w:tc>
      </w:tr>
      <w:tr>
        <w:trPr>
          <w:trHeight w:val="268"/>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使用寿命</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Style w:val="919"/>
                <w:rFonts w:hint="eastAsia" w:ascii="宋体" w:hAnsi="宋体" w:eastAsia="宋体" w:cs="宋体"/>
                <w:color w:val="auto"/>
                <w:sz w:val="21"/>
                <w:szCs w:val="21"/>
                <w:highlight w:val="none"/>
                <w:lang w:val="en-US" w:eastAsia="zh-CN" w:bidi="ar"/>
              </w:rPr>
              <w:t xml:space="preserve">15</w:t>
            </w:r>
            <w:r>
              <w:rPr>
                <w:rStyle w:val="916"/>
                <w:rFonts w:hint="eastAsia" w:ascii="宋体" w:hAnsi="宋体" w:eastAsia="宋体" w:cs="宋体"/>
                <w:color w:val="auto"/>
                <w:sz w:val="21"/>
                <w:szCs w:val="21"/>
                <w:highlight w:val="none"/>
                <w:lang w:val="en-US" w:eastAsia="zh-CN" w:bidi="ar"/>
              </w:rPr>
              <w:t xml:space="preserve">年</w:t>
            </w:r>
            <w:r>
              <w:rPr>
                <w:rStyle w:val="919"/>
                <w:rFonts w:hint="eastAsia" w:ascii="宋体" w:hAnsi="宋体" w:eastAsia="宋体" w:cs="宋体"/>
                <w:color w:val="auto"/>
                <w:sz w:val="21"/>
                <w:szCs w:val="21"/>
                <w:highlight w:val="none"/>
                <w:lang w:val="en-US" w:eastAsia="zh-CN" w:bidi="ar"/>
              </w:rPr>
              <w:t xml:space="preserve">/30000</w:t>
            </w:r>
            <w:r>
              <w:rPr>
                <w:rStyle w:val="916"/>
                <w:rFonts w:hint="eastAsia" w:ascii="宋体" w:hAnsi="宋体" w:eastAsia="宋体" w:cs="宋体"/>
                <w:color w:val="auto"/>
                <w:sz w:val="21"/>
                <w:szCs w:val="21"/>
                <w:highlight w:val="none"/>
                <w:lang w:val="en-US" w:eastAsia="zh-CN" w:bidi="ar"/>
              </w:rPr>
              <w:t xml:space="preserve">次灭菌循环</w:t>
            </w:r>
            <w:r>
              <w:rPr>
                <w:rStyle w:val="919"/>
                <w:rFonts w:hint="eastAsia" w:ascii="宋体" w:hAnsi="宋体" w:eastAsia="宋体" w:cs="宋体"/>
                <w:color w:val="auto"/>
                <w:sz w:val="21"/>
                <w:szCs w:val="21"/>
                <w:highlight w:val="none"/>
                <w:lang w:val="en-US" w:eastAsia="zh-CN" w:bidi="ar"/>
              </w:rPr>
              <w:t xml:space="preserve">        </w:t>
            </w:r>
            <w:r/>
          </w:p>
        </w:tc>
      </w:tr>
      <w:tr>
        <w:trPr>
          <w:trHeight w:val="36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夹套数量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环形加强筋结构，环形加强筋个数≥</w:t>
            </w:r>
            <w:r>
              <w:rPr>
                <w:rStyle w:val="919"/>
                <w:rFonts w:hint="eastAsia" w:ascii="宋体" w:hAnsi="宋体" w:eastAsia="宋体" w:cs="宋体"/>
                <w:color w:val="auto"/>
                <w:sz w:val="21"/>
                <w:szCs w:val="21"/>
                <w:highlight w:val="none"/>
                <w:lang w:val="en-US" w:eastAsia="zh-CN" w:bidi="ar"/>
              </w:rPr>
              <w:t xml:space="preserve">5</w:t>
            </w:r>
            <w:r>
              <w:rPr>
                <w:rStyle w:val="916"/>
                <w:rFonts w:hint="eastAsia" w:ascii="宋体" w:hAnsi="宋体" w:eastAsia="宋体" w:cs="宋体"/>
                <w:color w:val="auto"/>
                <w:sz w:val="21"/>
                <w:szCs w:val="21"/>
                <w:highlight w:val="none"/>
                <w:lang w:val="en-US" w:eastAsia="zh-CN" w:bidi="ar"/>
              </w:rPr>
              <w:t xml:space="preserve">个</w:t>
            </w:r>
            <w:r>
              <w:rPr>
                <w:rStyle w:val="916"/>
                <w:rFonts w:hint="eastAsia" w:ascii="宋体" w:hAnsi="宋体" w:cs="宋体"/>
                <w:color w:val="auto"/>
                <w:sz w:val="21"/>
                <w:szCs w:val="21"/>
                <w:highlight w:val="none"/>
                <w:lang w:val="en-US" w:eastAsia="zh-CN" w:bidi="ar"/>
              </w:rPr>
              <w:t xml:space="preserve">（需提供设备实物图）</w:t>
            </w:r>
            <w:r/>
          </w:p>
        </w:tc>
      </w:tr>
      <w:tr>
        <w:trPr>
          <w:trHeight w:val="314"/>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主体保温</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Style w:val="916"/>
                <w:rFonts w:hint="eastAsia" w:ascii="宋体" w:hAnsi="宋体" w:eastAsia="宋体" w:cs="宋体"/>
                <w:color w:val="auto"/>
                <w:sz w:val="21"/>
                <w:szCs w:val="21"/>
                <w:highlight w:val="none"/>
                <w:lang w:val="en-US" w:eastAsia="zh-CN" w:bidi="ar"/>
              </w:rPr>
              <w:t xml:space="preserve">采用耐高温、隔热阻燃材料</w:t>
            </w:r>
            <w:r/>
          </w:p>
        </w:tc>
      </w:tr>
      <w:tr>
        <w:trPr>
          <w:trHeight w:val="2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color w:val="auto"/>
                <w:sz w:val="21"/>
                <w:szCs w:val="21"/>
                <w:highlight w:val="none"/>
                <w:lang w:val="en-US" w:eastAsia="zh-CN" w:bidi="ar"/>
              </w:rPr>
              <w:t xml:space="preserve">密封门</w:t>
            </w:r>
            <w:r/>
          </w:p>
        </w:tc>
      </w:tr>
      <w:tr>
        <w:trPr>
          <w:trHeight w:val="229"/>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门数量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color w:val="auto"/>
                <w:sz w:val="21"/>
                <w:szCs w:val="21"/>
                <w:highlight w:val="none"/>
                <w:lang w:val="en-US" w:eastAsia="zh-CN"/>
              </w:rPr>
              <w:t xml:space="preserve">双扉门</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材质</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≥316L不锈钢材质，门板材质同内壳一致</w:t>
            </w:r>
            <w:r/>
          </w:p>
        </w:tc>
      </w:tr>
      <w:tr>
        <w:trPr>
          <w:trHeight w:val="339"/>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结构</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与主体啮合齿数≥</w:t>
            </w:r>
            <w:r>
              <w:rPr>
                <w:rStyle w:val="919"/>
                <w:rFonts w:hint="eastAsia" w:ascii="宋体" w:hAnsi="宋体" w:eastAsia="宋体" w:cs="宋体"/>
                <w:color w:val="auto"/>
                <w:sz w:val="21"/>
                <w:szCs w:val="21"/>
                <w:highlight w:val="none"/>
                <w:lang w:val="en-US" w:eastAsia="zh-CN" w:bidi="ar"/>
              </w:rPr>
              <w:t xml:space="preserve">13</w:t>
            </w:r>
            <w:r>
              <w:rPr>
                <w:rStyle w:val="916"/>
                <w:rFonts w:hint="eastAsia" w:ascii="宋体" w:hAnsi="宋体" w:eastAsia="宋体" w:cs="宋体"/>
                <w:color w:val="auto"/>
                <w:sz w:val="21"/>
                <w:szCs w:val="21"/>
                <w:highlight w:val="none"/>
                <w:lang w:val="en-US" w:eastAsia="zh-CN" w:bidi="ar"/>
              </w:rPr>
              <w:t xml:space="preserve">个，门板加强筋板数量≥</w:t>
            </w:r>
            <w:r>
              <w:rPr>
                <w:rStyle w:val="919"/>
                <w:rFonts w:hint="eastAsia" w:ascii="宋体" w:hAnsi="宋体" w:eastAsia="宋体" w:cs="宋体"/>
                <w:color w:val="auto"/>
                <w:sz w:val="21"/>
                <w:szCs w:val="21"/>
                <w:highlight w:val="none"/>
                <w:lang w:val="en-US" w:eastAsia="zh-CN" w:bidi="ar"/>
              </w:rPr>
              <w:t xml:space="preserve">4</w:t>
            </w:r>
            <w:r>
              <w:rPr>
                <w:rStyle w:val="916"/>
                <w:rFonts w:hint="eastAsia" w:ascii="宋体" w:hAnsi="宋体" w:eastAsia="宋体" w:cs="宋体"/>
                <w:color w:val="auto"/>
                <w:sz w:val="21"/>
                <w:szCs w:val="21"/>
                <w:highlight w:val="none"/>
                <w:lang w:val="en-US" w:eastAsia="zh-CN"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动力方式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电机齿轮链条驱动门板上下移动，侧开门式开启柜门</w:t>
            </w:r>
            <w:r/>
          </w:p>
        </w:tc>
      </w:tr>
      <w:tr>
        <w:trPr>
          <w:trHeight w:val="73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安全联锁</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安全联锁装置，门未关闭紧时蒸汽不进入舱体；舱体压力高于大气压时舱体门无法打开</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双门互锁</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双门互锁，一个门处在非关闭状态下，另一个门无法进行门动作</w:t>
            </w:r>
            <w:r/>
          </w:p>
        </w:tc>
      </w:tr>
      <w:tr>
        <w:trPr>
          <w:trHeight w:val="725"/>
        </w:trPr>
        <w:tc>
          <w:tcPr>
            <w:tcBorders>
              <w:top w:val="non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两种门模式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日常工作时使用，前后门不能同时打开；维护或检查检修时由专业工程师使用，前后门可同时打开</w:t>
            </w:r>
            <w:r/>
          </w:p>
        </w:tc>
      </w:tr>
      <w:tr>
        <w:trPr>
          <w:trHeight w:val="90"/>
        </w:trPr>
        <w:tc>
          <w:tcPr>
            <w:tcBorders>
              <w:top w:val="non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管路系统</w:t>
            </w:r>
            <w:r/>
          </w:p>
        </w:tc>
      </w:tr>
      <w:tr>
        <w:trPr>
          <w:trHeight w:val="241"/>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管路材质</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不锈钢卫生级管路，卡箍链接</w:t>
            </w:r>
            <w:r/>
          </w:p>
        </w:tc>
      </w:tr>
      <w:tr>
        <w:trPr>
          <w:trHeight w:val="266"/>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Style w:val="916"/>
                <w:rFonts w:hint="eastAsia" w:ascii="宋体" w:hAnsi="宋体" w:eastAsia="宋体" w:cs="宋体"/>
                <w:color w:val="auto"/>
                <w:sz w:val="21"/>
                <w:szCs w:val="21"/>
                <w:highlight w:val="none"/>
                <w:lang w:val="en-US" w:eastAsia="zh-CN" w:bidi="ar"/>
              </w:rPr>
              <w:t xml:space="preserve">泵</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进口或者国内知名品牌真空泵</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阀门</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Style w:val="916"/>
                <w:rFonts w:hint="eastAsia" w:ascii="宋体" w:hAnsi="宋体" w:eastAsia="宋体" w:cs="宋体"/>
                <w:color w:val="auto"/>
                <w:sz w:val="21"/>
                <w:szCs w:val="21"/>
                <w:highlight w:val="none"/>
                <w:lang w:val="en-US" w:eastAsia="zh-CN" w:bidi="ar"/>
              </w:rPr>
              <w:t xml:space="preserve">进口或者国内知名品牌气动阀和电磁阀</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蒸汽源</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外接蒸汽</w:t>
            </w:r>
            <w:r/>
          </w:p>
        </w:tc>
      </w:tr>
      <w:tr>
        <w:trPr>
          <w:trHeight w:val="21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降噪系统</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带有降噪装置</w:t>
            </w:r>
            <w:r/>
          </w:p>
        </w:tc>
      </w:tr>
      <w:tr>
        <w:trPr>
          <w:trHeight w:val="9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水回收装置</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带有换热器冷凝水回收系统，节约能源</w:t>
            </w:r>
            <w:r/>
          </w:p>
        </w:tc>
      </w:tr>
      <w:tr>
        <w:trPr>
          <w:trHeight w:val="168"/>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控制系统</w:t>
            </w:r>
            <w:r/>
          </w:p>
        </w:tc>
      </w:tr>
      <w:tr>
        <w:trPr>
          <w:trHeight w:val="26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PLC</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Style w:val="916"/>
                <w:rFonts w:hint="eastAsia" w:ascii="宋体" w:hAnsi="宋体" w:eastAsia="宋体" w:cs="宋体"/>
                <w:color w:val="auto"/>
                <w:sz w:val="21"/>
                <w:szCs w:val="21"/>
                <w:highlight w:val="none"/>
                <w:lang w:val="en-US" w:eastAsia="zh-CN" w:bidi="ar"/>
              </w:rPr>
              <w:suppressLineNumbers w:val="0"/>
            </w:pPr>
            <w:r>
              <w:rPr>
                <w:rStyle w:val="916"/>
                <w:rFonts w:hint="eastAsia" w:ascii="宋体" w:hAnsi="宋体" w:eastAsia="宋体" w:cs="宋体"/>
                <w:color w:val="auto"/>
                <w:sz w:val="21"/>
                <w:szCs w:val="21"/>
                <w:highlight w:val="none"/>
                <w:lang w:val="en-US" w:eastAsia="zh-CN" w:bidi="ar"/>
              </w:rPr>
              <w:t xml:space="preserve">进口或者国内知名品牌PLC</w:t>
            </w:r>
            <w:r/>
          </w:p>
        </w:tc>
      </w:tr>
      <w:tr>
        <w:trPr>
          <w:trHeight w:val="175"/>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b w:val="0"/>
                <w:bCs w:val="0"/>
                <w:color w:val="auto"/>
                <w:sz w:val="21"/>
                <w:szCs w:val="21"/>
                <w:highlight w:val="none"/>
                <w:lang w:val="en-US" w:eastAsia="zh-CN" w:bidi="ar"/>
              </w:rPr>
              <w:t xml:space="preserve">双触摸屏，屏幕尺寸：</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16"/>
                <w:rFonts w:hint="eastAsia" w:ascii="宋体" w:hAnsi="宋体" w:eastAsia="宋体" w:cs="宋体"/>
                <w:b w:val="0"/>
                <w:bCs w:val="0"/>
                <w:color w:val="auto"/>
                <w:sz w:val="21"/>
                <w:szCs w:val="21"/>
                <w:highlight w:val="none"/>
                <w:lang w:val="en-US" w:eastAsia="zh-CN" w:bidi="ar"/>
              </w:rPr>
              <w:t xml:space="preserve">10英寸</w:t>
            </w:r>
            <w:r>
              <w:rPr>
                <w:rStyle w:val="919"/>
                <w:rFonts w:hint="eastAsia" w:ascii="宋体" w:hAnsi="宋体" w:eastAsia="宋体" w:cs="宋体"/>
                <w:color w:val="auto"/>
                <w:sz w:val="21"/>
                <w:szCs w:val="21"/>
                <w:highlight w:val="none"/>
                <w:lang w:val="en-US" w:eastAsia="zh-CN" w:bidi="ar"/>
              </w:rPr>
              <w:t xml:space="preserve">                                                                                                                                     </w:t>
            </w:r>
            <w:r/>
          </w:p>
        </w:tc>
      </w:tr>
      <w:tr>
        <w:trPr>
          <w:trHeight w:val="80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记录方式</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b w:val="0"/>
                <w:bCs w:val="0"/>
                <w:color w:val="auto"/>
                <w:sz w:val="21"/>
                <w:szCs w:val="21"/>
                <w:highlight w:val="none"/>
                <w:lang w:val="en-US" w:eastAsia="zh-CN" w:bidi="ar"/>
              </w:rPr>
              <w:t xml:space="preserve">色带打印机记录：</w:t>
            </w:r>
            <w:r>
              <w:rPr>
                <w:rStyle w:val="916"/>
                <w:rFonts w:hint="eastAsia" w:ascii="宋体" w:hAnsi="宋体" w:eastAsia="宋体" w:cs="宋体"/>
                <w:b w:val="0"/>
                <w:bCs w:val="0"/>
                <w:color w:val="auto"/>
                <w:sz w:val="21"/>
                <w:szCs w:val="21"/>
                <w:highlight w:val="none"/>
                <w:lang w:val="en-US" w:eastAsia="zh-CN" w:bidi="ar"/>
              </w:rPr>
              <w:t xml:space="preserve">内置打印机，可将程序运行过程中的相关信息打印出来 </w:t>
            </w:r>
            <w:r>
              <w:rPr>
                <w:rStyle w:val="916"/>
                <w:rFonts w:hint="eastAsia" w:ascii="宋体" w:hAnsi="宋体" w:eastAsia="宋体" w:cs="宋体"/>
                <w:color w:val="auto"/>
                <w:sz w:val="21"/>
                <w:szCs w:val="21"/>
                <w:highlight w:val="none"/>
                <w:lang w:val="en-US" w:eastAsia="zh-CN" w:bidi="ar"/>
              </w:rPr>
              <w:t xml:space="preserve">                                                                                                                </w:t>
            </w:r>
            <w:r/>
          </w:p>
        </w:tc>
      </w:tr>
      <w:tr>
        <w:trPr>
          <w:trHeight w:val="80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显示内容</w:t>
            </w:r>
            <w:r/>
          </w:p>
        </w:tc>
        <w:tc>
          <w:tcPr>
            <w:tcBorders>
              <w:top w:val="single" w:color="000000" w:sz="4" w:space="0"/>
              <w:left w:val="single" w:color="000000" w:sz="4" w:space="0"/>
              <w:bottom w:val="single" w:color="auto"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9"/>
                <w:rFonts w:hint="eastAsia" w:ascii="宋体" w:hAnsi="宋体" w:eastAsia="宋体" w:cs="宋体"/>
                <w:color w:val="auto"/>
                <w:sz w:val="21"/>
                <w:szCs w:val="21"/>
                <w:highlight w:val="none"/>
                <w:lang w:val="en-US" w:eastAsia="zh-CN" w:bidi="ar"/>
              </w:rPr>
              <w:t xml:space="preserve">显示程序名称、程序流程、当前程序阶段、倒计时，温度、压力等                                                                                                                                                                             </w:t>
            </w:r>
            <w:r/>
          </w:p>
        </w:tc>
      </w:tr>
      <w:tr>
        <w:trPr>
          <w:trHeight w:val="80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记录内容</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915"/>
                <w:rFonts w:hint="eastAsia" w:ascii="宋体" w:hAnsi="宋体" w:eastAsia="宋体" w:cs="宋体"/>
                <w:b w:val="0"/>
                <w:bCs w:val="0"/>
                <w:color w:val="auto"/>
                <w:sz w:val="21"/>
                <w:szCs w:val="21"/>
                <w:highlight w:val="none"/>
                <w:lang w:val="en-US" w:eastAsia="zh-CN" w:bidi="ar"/>
              </w:rPr>
              <w:t xml:space="preserve">灭菌过程参数：</w:t>
            </w:r>
            <w:r>
              <w:rPr>
                <w:rStyle w:val="916"/>
                <w:rFonts w:hint="eastAsia" w:ascii="宋体" w:hAnsi="宋体" w:eastAsia="宋体" w:cs="宋体"/>
                <w:b w:val="0"/>
                <w:bCs w:val="0"/>
                <w:color w:val="auto"/>
                <w:sz w:val="21"/>
                <w:szCs w:val="21"/>
                <w:highlight w:val="none"/>
                <w:lang w:val="en-US" w:eastAsia="zh-CN" w:bidi="ar"/>
              </w:rPr>
              <w:t xml:space="preserve">灭菌过程的温度、压力、时间、过程阶段、预置参数等均可使用内置热敏打印机进行打印；</w:t>
            </w:r>
            <w:r>
              <w:rPr>
                <w:rStyle w:val="916"/>
                <w:rFonts w:hint="eastAsia" w:ascii="宋体" w:hAnsi="宋体" w:eastAsia="宋体" w:cs="宋体"/>
                <w:b w:val="0"/>
                <w:bCs w:val="0"/>
                <w:color w:val="auto"/>
                <w:sz w:val="21"/>
                <w:szCs w:val="21"/>
                <w:highlight w:val="none"/>
                <w:lang w:val="en-US" w:eastAsia="zh-CN" w:bidi="ar"/>
              </w:rPr>
              <w:br/>
            </w:r>
            <w:r>
              <w:rPr>
                <w:rStyle w:val="916"/>
                <w:rFonts w:hint="eastAsia" w:ascii="宋体" w:hAnsi="宋体" w:eastAsia="宋体" w:cs="宋体"/>
                <w:b w:val="0"/>
                <w:bCs w:val="0"/>
                <w:color w:val="auto"/>
                <w:sz w:val="21"/>
                <w:szCs w:val="21"/>
                <w:highlight w:val="none"/>
                <w:lang w:val="en-US" w:eastAsia="zh-CN" w:bidi="ar"/>
              </w:rPr>
              <w:t xml:space="preserve">也可通过</w:t>
            </w:r>
            <w:r>
              <w:rPr>
                <w:rStyle w:val="915"/>
                <w:rFonts w:hint="eastAsia" w:ascii="宋体" w:hAnsi="宋体" w:eastAsia="宋体" w:cs="宋体"/>
                <w:b w:val="0"/>
                <w:bCs w:val="0"/>
                <w:color w:val="auto"/>
                <w:sz w:val="21"/>
                <w:szCs w:val="21"/>
                <w:highlight w:val="none"/>
                <w:lang w:val="en-US" w:eastAsia="zh-CN" w:bidi="ar"/>
              </w:rPr>
              <w:t xml:space="preserve">选配</w:t>
            </w:r>
            <w:r>
              <w:rPr>
                <w:rStyle w:val="916"/>
                <w:rFonts w:hint="eastAsia" w:ascii="宋体" w:hAnsi="宋体" w:eastAsia="宋体" w:cs="宋体"/>
                <w:b w:val="0"/>
                <w:bCs w:val="0"/>
                <w:color w:val="auto"/>
                <w:sz w:val="21"/>
                <w:szCs w:val="21"/>
                <w:highlight w:val="none"/>
                <w:lang w:val="en-US" w:eastAsia="zh-CN" w:bidi="ar"/>
              </w:rPr>
              <w:t xml:space="preserve">电脑监控软件，将数据保存在监控电脑上；</w:t>
            </w:r>
            <w:r>
              <w:rPr>
                <w:rStyle w:val="919"/>
                <w:rFonts w:hint="eastAsia" w:ascii="宋体" w:hAnsi="宋体" w:eastAsia="宋体" w:cs="宋体"/>
                <w:b w:val="0"/>
                <w:bCs w:val="0"/>
                <w:color w:val="auto"/>
                <w:sz w:val="21"/>
                <w:szCs w:val="21"/>
                <w:highlight w:val="none"/>
                <w:lang w:val="en-US" w:eastAsia="zh-CN" w:bidi="ar"/>
              </w:rPr>
              <w:t xml:space="preserve">                                                                                                                                     </w:t>
            </w:r>
            <w:r>
              <w:rPr>
                <w:rStyle w:val="919"/>
                <w:rFonts w:hint="eastAsia" w:ascii="宋体" w:hAnsi="宋体" w:eastAsia="宋体" w:cs="宋体"/>
                <w:b w:val="0"/>
                <w:bCs w:val="0"/>
                <w:color w:val="auto"/>
                <w:sz w:val="21"/>
                <w:szCs w:val="21"/>
                <w:highlight w:val="none"/>
                <w:lang w:val="en-US" w:eastAsia="zh-CN" w:bidi="ar"/>
              </w:rPr>
              <w:br/>
            </w:r>
            <w:r>
              <w:rPr>
                <w:rStyle w:val="915"/>
                <w:rFonts w:hint="eastAsia" w:ascii="宋体" w:hAnsi="宋体" w:eastAsia="宋体" w:cs="宋体"/>
                <w:b w:val="0"/>
                <w:bCs w:val="0"/>
                <w:color w:val="auto"/>
                <w:sz w:val="21"/>
                <w:szCs w:val="21"/>
                <w:highlight w:val="none"/>
                <w:lang w:val="en-US" w:eastAsia="zh-CN" w:bidi="ar"/>
              </w:rPr>
              <w:t xml:space="preserve">报警信息：</w:t>
            </w:r>
            <w:r>
              <w:rPr>
                <w:rStyle w:val="916"/>
                <w:rFonts w:hint="eastAsia" w:ascii="宋体" w:hAnsi="宋体" w:eastAsia="宋体" w:cs="宋体"/>
                <w:b w:val="0"/>
                <w:bCs w:val="0"/>
                <w:color w:val="auto"/>
                <w:sz w:val="21"/>
                <w:szCs w:val="21"/>
                <w:highlight w:val="none"/>
                <w:lang w:val="en-US" w:eastAsia="zh-CN" w:bidi="ar"/>
              </w:rPr>
              <w:t xml:space="preserve">程序运行过程中相关关键报警信息可在打印纸上打印</w:t>
            </w:r>
            <w:r>
              <w:rPr>
                <w:rStyle w:val="919"/>
                <w:rFonts w:hint="eastAsia" w:ascii="宋体" w:hAnsi="宋体" w:eastAsia="宋体" w:cs="宋体"/>
                <w:color w:val="auto"/>
                <w:sz w:val="21"/>
                <w:szCs w:val="21"/>
                <w:highlight w:val="none"/>
                <w:lang w:val="en-US" w:eastAsia="zh-CN" w:bidi="ar"/>
              </w:rPr>
              <w:t xml:space="preserve">    </w:t>
            </w:r>
            <w:r/>
          </w:p>
        </w:tc>
      </w:tr>
      <w:tr>
        <w:trPr>
          <w:trHeight w:val="168"/>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权限管理</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多重权限</w:t>
            </w:r>
            <w:r/>
          </w:p>
        </w:tc>
      </w:tr>
      <w:tr>
        <w:trPr>
          <w:trHeight w:val="80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rPr>
                <w:rFonts w:hint="eastAsia" w:ascii="宋体" w:hAnsi="宋体" w:eastAsia="宋体" w:cs="宋体"/>
                <w:b/>
                <w:bCs/>
                <w:i w:val="0"/>
                <w:iCs w:val="0"/>
                <w:color w:val="auto"/>
                <w:sz w:val="21"/>
                <w:szCs w:val="21"/>
                <w:highlight w:val="none"/>
                <w:u w:val="none"/>
              </w:rPr>
            </w:pPr>
            <w:r>
              <w:rPr>
                <w:rStyle w:val="915"/>
                <w:rFonts w:hint="eastAsia" w:ascii="宋体" w:hAnsi="宋体" w:eastAsia="宋体" w:cs="宋体"/>
                <w:b w:val="0"/>
                <w:bCs w:val="0"/>
                <w:color w:val="auto"/>
                <w:sz w:val="21"/>
                <w:szCs w:val="21"/>
                <w:highlight w:val="none"/>
                <w:lang w:val="en-US" w:eastAsia="zh-CN" w:bidi="ar"/>
              </w:rPr>
              <w:t xml:space="preserve">多种保护：超压保护、超温保护、</w:t>
            </w:r>
            <w:r>
              <w:rPr>
                <w:rFonts w:hint="eastAsia" w:ascii="宋体" w:hAnsi="宋体" w:eastAsia="宋体" w:cs="宋体"/>
                <w:color w:val="auto"/>
                <w:sz w:val="21"/>
                <w:szCs w:val="21"/>
                <w:highlight w:val="none"/>
              </w:rPr>
              <w:t xml:space="preserve">断水保护</w:t>
            </w:r>
            <w:r>
              <w:rPr>
                <w:rFonts w:hint="eastAsia" w:ascii="宋体" w:hAnsi="宋体" w:eastAsia="宋体" w:cs="宋体"/>
                <w:color w:val="auto"/>
                <w:sz w:val="21"/>
                <w:szCs w:val="21"/>
                <w:highlight w:val="none"/>
                <w:lang w:eastAsia="zh-CN"/>
              </w:rPr>
              <w:t xml:space="preserve">、</w:t>
            </w:r>
            <w:r>
              <w:rPr>
                <w:rStyle w:val="915"/>
                <w:rFonts w:hint="eastAsia" w:ascii="宋体" w:hAnsi="宋体" w:eastAsia="宋体" w:cs="宋体"/>
                <w:b w:val="0"/>
                <w:bCs w:val="0"/>
                <w:color w:val="auto"/>
                <w:sz w:val="21"/>
                <w:szCs w:val="21"/>
                <w:highlight w:val="none"/>
                <w:lang w:val="en-US" w:eastAsia="zh-CN" w:bidi="ar"/>
              </w:rPr>
              <w:t xml:space="preserve">门关位检测保护等</w:t>
            </w:r>
            <w:r/>
          </w:p>
        </w:tc>
      </w:tr>
      <w:tr>
        <w:trPr>
          <w:trHeight w:val="339"/>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程序系统</w:t>
            </w:r>
            <w:r/>
          </w:p>
        </w:tc>
      </w:tr>
      <w:tr>
        <w:trPr>
          <w:trHeight w:val="387"/>
        </w:trPr>
        <w:tc>
          <w:tcPr>
            <w:shd w:val="clear" w:color="auto" w:fill="ffffff"/>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程序种类及数量</w:t>
            </w:r>
            <w:r/>
          </w:p>
        </w:tc>
        <w:tc>
          <w:tcPr>
            <w:shd w:val="clear" w:color="auto" w:fill="ffffff"/>
            <w:tcBorders>
              <w:top w:val="non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套程序，</w:t>
            </w:r>
            <w:r>
              <w:rPr>
                <w:rFonts w:hint="eastAsia" w:ascii="宋体" w:hAnsi="宋体" w:eastAsia="宋体" w:cs="宋体"/>
                <w:color w:val="auto"/>
                <w:sz w:val="21"/>
                <w:szCs w:val="21"/>
                <w:highlight w:val="none"/>
              </w:rPr>
              <w:t xml:space="preserve">器械、敷料、BD测试、</w:t>
            </w:r>
            <w:r>
              <w:rPr>
                <w:rFonts w:hint="eastAsia" w:ascii="宋体" w:hAnsi="宋体" w:eastAsia="宋体" w:cs="宋体"/>
                <w:color w:val="auto"/>
                <w:sz w:val="21"/>
                <w:szCs w:val="21"/>
                <w:highlight w:val="none"/>
                <w:lang w:val="en-US" w:eastAsia="zh-CN"/>
              </w:rPr>
              <w:t xml:space="preserve">测</w:t>
            </w:r>
            <w:r>
              <w:rPr>
                <w:rFonts w:hint="eastAsia" w:ascii="宋体" w:hAnsi="宋体" w:eastAsia="宋体" w:cs="宋体"/>
                <w:color w:val="auto"/>
                <w:sz w:val="21"/>
                <w:szCs w:val="21"/>
                <w:highlight w:val="none"/>
              </w:rPr>
              <w:t xml:space="preserve">漏、重载、特殊感染等固定程序</w:t>
            </w:r>
            <w:r/>
          </w:p>
        </w:tc>
      </w:tr>
      <w:tr>
        <w:trPr>
          <w:trHeight w:val="90"/>
        </w:trPr>
        <w:tc>
          <w:tcPr>
            <w:shd w:val="clear" w:color="auto" w:fill="ffffff"/>
            <w:tcBorders>
              <w:top w:val="single" w:color="000000" w:sz="4" w:space="0"/>
              <w:left w:val="single" w:color="000000" w:sz="4" w:space="0"/>
              <w:bottom w:val="single" w:color="auto"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ffffff"/>
            <w:tcBorders>
              <w:top w:val="single" w:color="000000" w:sz="4" w:space="0"/>
              <w:left w:val="single" w:color="000000" w:sz="4" w:space="0"/>
              <w:bottom w:val="single" w:color="auto"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程序运行时间</w:t>
            </w:r>
            <w:r/>
          </w:p>
        </w:tc>
        <w:tc>
          <w:tcPr>
            <w:shd w:val="clear" w:color="auto" w:fill="ffffff"/>
            <w:tcBorders>
              <w:top w:val="none" w:color="000000" w:sz="4" w:space="0"/>
              <w:left w:val="single" w:color="000000" w:sz="4" w:space="0"/>
              <w:bottom w:val="single" w:color="auto"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标准循环:≦55分钟</w:t>
            </w:r>
            <w:r/>
          </w:p>
        </w:tc>
      </w:tr>
      <w:tr>
        <w:trPr>
          <w:trHeight w:val="558"/>
        </w:trPr>
        <w:tc>
          <w:tcPr>
            <w:shd w:val="clear" w:color="auto" w:fill="ffffff"/>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ffffff"/>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微软雅黑" w:hAnsi="微软雅黑" w:eastAsia="微软雅黑" w:cs="微软雅黑"/>
                <w:color w:val="auto"/>
                <w:sz w:val="22"/>
                <w:szCs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脉动次数</w:t>
            </w:r>
            <w:r/>
          </w:p>
        </w:tc>
        <w:tc>
          <w:tcPr>
            <w:shd w:val="clear" w:color="auto" w:fill="ffffff"/>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Style w:val="916"/>
                <w:rFonts w:hint="eastAsia" w:ascii="宋体" w:hAnsi="宋体" w:eastAsia="宋体" w:cs="宋体"/>
                <w:color w:val="auto"/>
                <w:sz w:val="21"/>
                <w:szCs w:val="21"/>
                <w:highlight w:val="none"/>
                <w:lang w:val="en-US" w:eastAsia="zh-CN" w:bidi="ar"/>
              </w:rPr>
              <w:t xml:space="preserve">标准循环：</w:t>
            </w:r>
            <w:r>
              <w:rPr>
                <w:rStyle w:val="919"/>
                <w:rFonts w:hint="eastAsia" w:ascii="宋体" w:hAnsi="宋体" w:eastAsia="宋体" w:cs="宋体"/>
                <w:b w:val="0"/>
                <w:bCs w:val="0"/>
                <w:color w:val="auto"/>
                <w:sz w:val="21"/>
                <w:szCs w:val="21"/>
                <w:highlight w:val="none"/>
                <w:lang w:val="en-US" w:eastAsia="zh-CN" w:bidi="ar"/>
              </w:rPr>
              <w:t xml:space="preserve">3</w:t>
            </w:r>
            <w:r>
              <w:rPr>
                <w:rStyle w:val="916"/>
                <w:rFonts w:hint="eastAsia" w:ascii="宋体" w:hAnsi="宋体" w:eastAsia="宋体" w:cs="宋体"/>
                <w:color w:val="auto"/>
                <w:sz w:val="21"/>
                <w:szCs w:val="21"/>
                <w:highlight w:val="none"/>
                <w:lang w:val="en-US" w:eastAsia="zh-CN" w:bidi="ar"/>
              </w:rPr>
              <w:t xml:space="preserve">次负压脉动，</w:t>
            </w:r>
            <w:r>
              <w:rPr>
                <w:rStyle w:val="919"/>
                <w:rFonts w:hint="eastAsia" w:ascii="宋体" w:hAnsi="宋体" w:eastAsia="宋体" w:cs="宋体"/>
                <w:color w:val="auto"/>
                <w:sz w:val="21"/>
                <w:szCs w:val="21"/>
                <w:highlight w:val="none"/>
                <w:lang w:val="en-US" w:eastAsia="zh-CN" w:bidi="ar"/>
              </w:rPr>
              <w:t xml:space="preserve">1</w:t>
            </w:r>
            <w:r>
              <w:rPr>
                <w:rStyle w:val="916"/>
                <w:rFonts w:hint="eastAsia" w:ascii="宋体" w:hAnsi="宋体" w:eastAsia="宋体" w:cs="宋体"/>
                <w:color w:val="auto"/>
                <w:sz w:val="21"/>
                <w:szCs w:val="21"/>
                <w:highlight w:val="none"/>
                <w:lang w:val="en-US" w:eastAsia="zh-CN" w:bidi="ar"/>
              </w:rPr>
              <w:t xml:space="preserve">次跨压脉动，</w:t>
            </w:r>
            <w:r>
              <w:rPr>
                <w:rStyle w:val="919"/>
                <w:rFonts w:hint="eastAsia" w:ascii="宋体" w:hAnsi="宋体" w:eastAsia="宋体" w:cs="宋体"/>
                <w:color w:val="auto"/>
                <w:sz w:val="21"/>
                <w:szCs w:val="21"/>
                <w:highlight w:val="none"/>
                <w:lang w:val="en-US" w:eastAsia="zh-CN" w:bidi="ar"/>
              </w:rPr>
              <w:t xml:space="preserve">3</w:t>
            </w:r>
            <w:r>
              <w:rPr>
                <w:rStyle w:val="916"/>
                <w:rFonts w:hint="eastAsia" w:ascii="宋体" w:hAnsi="宋体" w:eastAsia="宋体" w:cs="宋体"/>
                <w:color w:val="auto"/>
                <w:sz w:val="21"/>
                <w:szCs w:val="21"/>
                <w:highlight w:val="none"/>
                <w:lang w:val="en-US" w:eastAsia="zh-CN" w:bidi="ar"/>
              </w:rPr>
              <w:t xml:space="preserve">次正压脉动。脉动次数设定范围：</w:t>
            </w:r>
            <w:r>
              <w:rPr>
                <w:rStyle w:val="919"/>
                <w:rFonts w:hint="eastAsia" w:ascii="宋体" w:hAnsi="宋体" w:eastAsia="宋体" w:cs="宋体"/>
                <w:color w:val="auto"/>
                <w:sz w:val="21"/>
                <w:szCs w:val="21"/>
                <w:highlight w:val="none"/>
                <w:lang w:val="en-US" w:eastAsia="zh-CN" w:bidi="ar"/>
              </w:rPr>
              <w:t xml:space="preserve">0</w:t>
            </w:r>
            <w:r>
              <w:rPr>
                <w:rStyle w:val="916"/>
                <w:rFonts w:hint="eastAsia" w:ascii="宋体" w:hAnsi="宋体" w:eastAsia="宋体" w:cs="宋体"/>
                <w:color w:val="auto"/>
                <w:sz w:val="21"/>
                <w:szCs w:val="21"/>
                <w:highlight w:val="none"/>
                <w:lang w:val="en-US" w:eastAsia="zh-CN" w:bidi="ar"/>
              </w:rPr>
              <w:t xml:space="preserve">～</w:t>
            </w:r>
            <w:r>
              <w:rPr>
                <w:rStyle w:val="919"/>
                <w:rFonts w:hint="eastAsia" w:ascii="宋体" w:hAnsi="宋体" w:eastAsia="宋体" w:cs="宋体"/>
                <w:color w:val="auto"/>
                <w:sz w:val="21"/>
                <w:szCs w:val="21"/>
                <w:highlight w:val="none"/>
                <w:lang w:val="en-US" w:eastAsia="zh-CN" w:bidi="ar"/>
              </w:rPr>
              <w:t xml:space="preserve">99</w:t>
            </w:r>
            <w:r>
              <w:rPr>
                <w:rStyle w:val="916"/>
                <w:rFonts w:hint="eastAsia" w:ascii="宋体" w:hAnsi="宋体" w:eastAsia="宋体" w:cs="宋体"/>
                <w:color w:val="auto"/>
                <w:sz w:val="21"/>
                <w:szCs w:val="21"/>
                <w:highlight w:val="none"/>
                <w:lang w:val="en-US" w:eastAsia="zh-CN" w:bidi="ar"/>
              </w:rPr>
              <w:t xml:space="preserve">次可设</w:t>
            </w:r>
            <w:r>
              <w:rPr>
                <w:rStyle w:val="916"/>
                <w:rFonts w:hint="eastAsia" w:ascii="宋体" w:hAnsi="宋体" w:cs="宋体"/>
                <w:color w:val="auto"/>
                <w:sz w:val="21"/>
                <w:szCs w:val="21"/>
                <w:highlight w:val="none"/>
                <w:lang w:val="en-US" w:eastAsia="zh-CN" w:bidi="ar"/>
              </w:rPr>
              <w:t xml:space="preserve">，提供设备打印记录</w:t>
            </w:r>
            <w:r/>
          </w:p>
        </w:tc>
      </w:tr>
      <w:tr>
        <w:trPr>
          <w:trHeight w:val="670"/>
        </w:trPr>
        <w:tc>
          <w:tcPr>
            <w:shd w:val="clear" w:color="auto" w:fill="ffffff"/>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ffffff"/>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灭菌温度</w:t>
            </w:r>
            <w:r/>
          </w:p>
        </w:tc>
        <w:tc>
          <w:tcPr>
            <w:shd w:val="clear" w:color="auto" w:fill="ffffff"/>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rFonts w:hint="eastAsia" w:ascii="宋体" w:hAnsi="宋体" w:eastAsia="宋体" w:cs="宋体"/>
                <w:color w:val="auto"/>
                <w:sz w:val="21"/>
                <w:szCs w:val="21"/>
                <w:highlight w:val="none"/>
                <w:lang w:val="en-US" w:eastAsia="zh-CN" w:bidi="ar"/>
              </w:rPr>
              <w:t xml:space="preserve">标准循环：121℃和134℃，灭菌温度设定范围：100～138℃可设</w:t>
            </w:r>
            <w:r/>
          </w:p>
        </w:tc>
      </w:tr>
      <w:tr>
        <w:trPr>
          <w:trHeight w:val="505"/>
        </w:trPr>
        <w:tc>
          <w:tcPr>
            <w:shd w:val="clear" w:color="auto" w:fill="ffffff"/>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ffffff"/>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灭菌时间</w:t>
            </w:r>
            <w:r/>
          </w:p>
        </w:tc>
        <w:tc>
          <w:tcPr>
            <w:shd w:val="clear" w:color="auto" w:fill="ffffff"/>
            <w:tcBorders>
              <w:top w:val="single" w:color="auto" w:sz="4" w:space="0"/>
              <w:left w:val="single" w:color="auto" w:sz="4" w:space="0"/>
              <w:bottom w:val="single" w:color="auto" w:sz="4" w:space="0"/>
              <w:right w:val="single" w:color="auto"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主要杀菌因子强度：121℃灭菌，灭菌时间≤20min;134℃灭菌，灭菌时间≤5min，提供通过全国消毒产品网上备案信息服务平台认可的检测报告证明</w:t>
            </w:r>
            <w:r>
              <w:rPr>
                <w:rStyle w:val="919"/>
                <w:rFonts w:hint="eastAsia" w:ascii="宋体" w:hAnsi="宋体" w:eastAsia="宋体" w:cs="宋体"/>
                <w:color w:val="auto"/>
                <w:sz w:val="21"/>
                <w:szCs w:val="21"/>
                <w:highlight w:val="none"/>
                <w:lang w:val="en-US" w:eastAsia="zh-CN" w:bidi="ar"/>
              </w:rPr>
              <w:t xml:space="preserve">       </w:t>
            </w:r>
            <w:r/>
          </w:p>
        </w:tc>
      </w:tr>
      <w:tr>
        <w:trPr>
          <w:trHeight w:val="605"/>
        </w:trPr>
        <w:tc>
          <w:tcPr>
            <w:shd w:val="clear" w:color="auto" w:fill="ffffff"/>
            <w:tcBorders>
              <w:top w:val="single" w:color="auto"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ffffff"/>
            <w:tcBorders>
              <w:top w:val="single" w:color="auto"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干燥时间</w:t>
            </w:r>
            <w:r/>
          </w:p>
        </w:tc>
        <w:tc>
          <w:tcPr>
            <w:shd w:val="clear" w:color="auto" w:fill="ffffff"/>
            <w:tcBorders>
              <w:top w:val="single" w:color="auto" w:sz="4" w:space="0"/>
              <w:left w:val="single" w:color="000000" w:sz="4" w:space="0"/>
              <w:bottom w:val="non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16"/>
                <w:color w:val="auto"/>
                <w:highlight w:val="none"/>
                <w:lang w:val="en-US" w:eastAsia="zh-CN" w:bidi="ar"/>
              </w:rPr>
              <w:t xml:space="preserve">干燥时间设定范围：0～9999秒可设</w:t>
            </w:r>
            <w:r/>
          </w:p>
        </w:tc>
      </w:tr>
      <w:tr>
        <w:trPr>
          <w:trHeight w:val="276"/>
        </w:trPr>
        <w:tc>
          <w:tcPr>
            <w:shd w:val="clear" w:color="auto" w:fill="ffffff"/>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left"/>
              <w:keepLines w:val="0"/>
              <w:keepNext w:val="0"/>
              <w:widowControl/>
              <w:rPr>
                <w:rStyle w:val="916"/>
                <w:rFonts w:hint="eastAsia" w:ascii="宋体" w:hAnsi="宋体" w:eastAsia="宋体" w:cs="宋体"/>
                <w:color w:val="auto"/>
                <w:sz w:val="21"/>
                <w:szCs w:val="21"/>
                <w:highlight w:val="none"/>
                <w:lang w:val="en-US" w:eastAsia="zh-CN" w:bidi="ar"/>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1"/>
                <w:szCs w:val="21"/>
                <w:highlight w:val="none"/>
                <w:lang w:val="en-US" w:eastAsia="zh-CN"/>
              </w:rPr>
              <w:t xml:space="preserve">测漏实验</w:t>
            </w:r>
            <w:r/>
          </w:p>
        </w:tc>
        <w:tc>
          <w:tcPr>
            <w:shd w:val="clear" w:color="auto" w:fill="ffffff"/>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物理记录单上有显示泄露率或者合格、不合格</w:t>
            </w:r>
            <w:r/>
          </w:p>
        </w:tc>
      </w:tr>
      <w:tr>
        <w:trPr>
          <w:trHeight w:val="276"/>
        </w:trPr>
        <w:tc>
          <w:tcPr>
            <w:shd w:val="clear" w:color="auto" w:fill="ffffff"/>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left"/>
              <w:keepLines w:val="0"/>
              <w:keepNext w:val="0"/>
              <w:widowControl/>
              <w:rPr>
                <w:rStyle w:val="916"/>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Style w:val="916"/>
                <w:rFonts w:hint="eastAsia" w:ascii="宋体" w:hAnsi="宋体" w:eastAsia="宋体" w:cs="宋体"/>
                <w:color w:val="auto"/>
                <w:sz w:val="21"/>
                <w:szCs w:val="21"/>
                <w:highlight w:val="none"/>
                <w:lang w:val="en-US" w:eastAsia="zh-CN" w:bidi="ar"/>
              </w:rPr>
              <w:t xml:space="preserve">提供生产厂家特种设备压力容器生产许可证；因现场部分蒸汽管路改造，生产厂家需提供压力管道安装设计许可证</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left"/>
              <w:keepLines w:val="0"/>
              <w:keepNext w:val="0"/>
              <w:widowControl/>
              <w:rPr>
                <w:rStyle w:val="916"/>
                <w:rFonts w:hint="eastAsia" w:ascii="宋体" w:hAnsi="宋体" w:eastAsia="宋体" w:cs="宋体"/>
                <w:color w:val="auto"/>
                <w:sz w:val="21"/>
                <w:szCs w:val="21"/>
                <w:highlight w:val="none"/>
                <w:lang w:val="en-US" w:eastAsia="zh-CN" w:bidi="ar"/>
              </w:rPr>
              <w:suppressLineNumbers w:val="0"/>
            </w:pPr>
            <w:r>
              <w:rPr>
                <w:rStyle w:val="916"/>
                <w:rFonts w:hint="eastAsia" w:ascii="宋体" w:hAnsi="宋体" w:eastAsia="宋体" w:cs="宋体"/>
                <w:color w:val="auto"/>
                <w:sz w:val="21"/>
                <w:szCs w:val="21"/>
                <w:highlight w:val="none"/>
                <w:lang w:val="en-US" w:eastAsia="zh-CN" w:bidi="ar"/>
              </w:rPr>
              <w:t xml:space="preserve">根据新规ws310-2016对高温灭菌器物理参数的监测要求，生产厂家应取得实验室认可权威机构—中国合格评定国家认可委员会CNAS资质，可对灭菌器进行定期监测，须提供证书资质予以佐证</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jc w:val="left"/>
              <w:keepLines w:val="0"/>
              <w:keepNext w:val="0"/>
              <w:widowControl/>
              <w:rPr>
                <w:rStyle w:val="916"/>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rPr>
              <w:t xml:space="preserve">厂家负责安装、调试及操作人员培训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出现故障时</w:t>
            </w:r>
            <w:r>
              <w:rPr>
                <w:rFonts w:hint="eastAsia" w:ascii="宋体" w:hAnsi="宋体" w:eastAsia="宋体" w:cs="宋体"/>
                <w:color w:val="auto"/>
                <w:sz w:val="21"/>
                <w:szCs w:val="21"/>
                <w:highlight w:val="none"/>
              </w:rPr>
              <w:t xml:space="preserve">24小时</w:t>
            </w:r>
            <w:r>
              <w:rPr>
                <w:rFonts w:hint="eastAsia" w:ascii="宋体" w:hAnsi="宋体" w:eastAsia="宋体" w:cs="宋体"/>
                <w:color w:val="auto"/>
                <w:sz w:val="21"/>
                <w:szCs w:val="21"/>
                <w:highlight w:val="none"/>
                <w:lang w:val="en-US" w:eastAsia="zh-CN"/>
              </w:rPr>
              <w:t xml:space="preserve">内解决</w:t>
            </w:r>
            <w:r/>
          </w:p>
        </w:tc>
      </w:tr>
    </w:tbl>
    <w:p>
      <w:pPr>
        <w:pStyle w:val="893"/>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2）减压沸腾清洗机参数</w:t>
      </w:r>
      <w:r/>
    </w:p>
    <w:tbl>
      <w:tblPr>
        <w:tblStyle w:val="890"/>
        <w:tblW w:w="509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2532"/>
        <w:gridCol w:w="6819"/>
      </w:tblGrid>
      <w:tr>
        <w:trPr>
          <w:trHeight w:val="26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≥150L</w:t>
            </w:r>
            <w:r/>
          </w:p>
        </w:tc>
      </w:tr>
      <w:tr>
        <w:trPr>
          <w:trHeight w:val="28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装载量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10个与现使用标准器械框（4</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0×2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0×50mm）相兼容</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置于托盘内堆叠摆放或直接置于槽内清洗，无需专用</w:t>
            </w:r>
            <w:r>
              <w:rPr>
                <w:rFonts w:hint="eastAsia" w:ascii="宋体" w:hAnsi="宋体" w:cs="宋体"/>
                <w:i w:val="0"/>
                <w:iCs w:val="0"/>
                <w:color w:val="auto"/>
                <w:sz w:val="21"/>
                <w:szCs w:val="21"/>
                <w:highlight w:val="none"/>
                <w:u w:val="none"/>
                <w:lang w:val="en-US" w:eastAsia="zh-CN" w:bidi="ar"/>
              </w:rPr>
              <w:t xml:space="preserve">清洗架对接</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6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材质要求</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外罩：拉丝板</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66"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清洗舱：≥316L不锈钢</w:t>
            </w:r>
            <w:r/>
          </w:p>
        </w:tc>
      </w:tr>
      <w:tr>
        <w:trPr>
          <w:trHeight w:val="28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舱体保温</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采用阻燃材料</w:t>
            </w:r>
            <w:r/>
          </w:p>
        </w:tc>
      </w:tr>
      <w:tr>
        <w:trPr>
          <w:trHeight w:val="54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rPr>
              <w:t xml:space="preserve">噪音</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正常运行时，应不大于70dB</w:t>
            </w:r>
            <w:r/>
          </w:p>
        </w:tc>
      </w:tr>
      <w:tr>
        <w:trPr>
          <w:trHeight w:val="717"/>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密封门密封方式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压缩气主动密封</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门数量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双门</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玻璃视窗</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双面玻璃窗，为方便观察舱内运行情况</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开门形式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升降门带门障碍开关，遇障碍自动返回</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加热方式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蒸汽加热</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负压清洗、煮沸消毒、真空干燥、热风干燥</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微软雅黑" w:hAnsi="微软雅黑" w:eastAsia="微软雅黑" w:cs="微软雅黑"/>
                <w:color w:val="auto"/>
                <w:sz w:val="22"/>
                <w:szCs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使用寿命</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≥10年或≥15000次循环</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功能范围</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腔镜器械、基础手术器械、管腔类器械、骨科器械、麻醉器械、牙科手机、眼科器械等器械以及外来器械的清洗、消毒和干燥</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消毒程序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A0值</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3000</w:t>
            </w:r>
            <w:r/>
          </w:p>
        </w:tc>
      </w:tr>
      <w:tr>
        <w:trPr>
          <w:trHeight w:val="6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运行周期</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高液位管腔器械程序</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55</w:t>
            </w:r>
            <w:r>
              <w:rPr>
                <w:rFonts w:hint="eastAsia" w:ascii="宋体" w:hAnsi="宋体" w:eastAsia="宋体" w:cs="宋体"/>
                <w:i w:val="0"/>
                <w:iCs w:val="0"/>
                <w:color w:val="auto"/>
                <w:sz w:val="21"/>
                <w:szCs w:val="21"/>
                <w:highlight w:val="none"/>
                <w:u w:val="none"/>
                <w:lang w:val="en-US" w:eastAsia="zh-CN" w:bidi="ar"/>
              </w:rPr>
              <w:t xml:space="preserve">分钟，提供打印报告证明</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液位可调</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根据负载量多少，至少3级液位可调</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清洗液循环</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numPr>
                <w:ilvl w:val="0"/>
                <w:numId w:val="0"/>
              </w:numPr>
              <w:jc w:val="both"/>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抽真空回气次数≥3次，流量≥50 L/min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有液相脉动清洗和气相脉动清洗</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真空系统</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numPr>
                <w:ilvl w:val="0"/>
                <w:numId w:val="0"/>
              </w:num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应有泄漏测试功能以确保达到真空系统的性能要求</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最低沸腾温度</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℃～55℃</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清洗方式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tabs>
                <w:tab w:val="left" w:pos="853"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减压沸腾清洗</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负压脉动清洗（可兼容超声波清洗模块</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微软雅黑" w:hAnsi="微软雅黑" w:eastAsia="微软雅黑" w:cs="微软雅黑"/>
                <w:color w:val="auto"/>
                <w:sz w:val="24"/>
                <w:szCs w:val="24"/>
                <w:highlight w:val="none"/>
              </w:rPr>
              <w:t xml:space="preserve">▲</w:t>
            </w:r>
            <w:r>
              <w:rPr>
                <w:rFonts w:hint="eastAsia" w:ascii="宋体" w:hAnsi="宋体" w:eastAsia="宋体" w:cs="宋体"/>
                <w:color w:val="auto"/>
                <w:sz w:val="21"/>
                <w:szCs w:val="21"/>
                <w:highlight w:val="none"/>
              </w:rPr>
              <w:t xml:space="preserve">干燥方式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rPr>
              <w:t xml:space="preserve">真空干燥</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lang w:val="en-US" w:eastAsia="zh-CN"/>
              </w:rPr>
              <w:t xml:space="preserve">热风</w:t>
            </w:r>
            <w:r>
              <w:rPr>
                <w:rFonts w:hint="eastAsia" w:ascii="宋体" w:hAnsi="宋体" w:eastAsia="宋体" w:cs="宋体"/>
                <w:color w:val="auto"/>
                <w:sz w:val="21"/>
                <w:szCs w:val="21"/>
                <w:highlight w:val="none"/>
              </w:rPr>
              <w:t xml:space="preserve">干燥</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▲消毒效果</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 w:bidi="ar"/>
              </w:rPr>
              <w:t xml:space="preserve">投标产品在进行微生物杀灭效果鉴定是至少采用白色念珠菌、金黄葡萄球菌和大肠杆菌进行杀灭实验，且杀灭对数值均＞3.000。（提供投标产品在全国消毒产品网上备案信息服务平台查询到的检测报告证明）</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清洗效果检测报告</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应提供依据清洗消毒器行业标准《YY/T 0734-清洗消毒器》提供的清洗效果检测报告</w:t>
            </w:r>
            <w:r/>
          </w:p>
        </w:tc>
      </w:tr>
      <w:tr>
        <w:trPr>
          <w:trHeight w:val="38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主要元器件</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真空泵、电磁阀、气动阀均采用进口</w:t>
            </w:r>
            <w:r>
              <w:rPr>
                <w:rFonts w:hint="eastAsia" w:ascii="宋体" w:hAnsi="宋体" w:cs="宋体"/>
                <w:i w:val="0"/>
                <w:iCs w:val="0"/>
                <w:color w:val="auto"/>
                <w:sz w:val="21"/>
                <w:szCs w:val="21"/>
                <w:highlight w:val="none"/>
                <w:u w:val="none"/>
                <w:lang w:val="en-US" w:eastAsia="zh-CN" w:bidi="ar"/>
              </w:rPr>
              <w:t xml:space="preserve">或者国内</w:t>
            </w:r>
            <w:r>
              <w:rPr>
                <w:rFonts w:hint="eastAsia" w:ascii="宋体" w:hAnsi="宋体" w:eastAsia="宋体" w:cs="宋体"/>
                <w:i w:val="0"/>
                <w:iCs w:val="0"/>
                <w:color w:val="auto"/>
                <w:sz w:val="21"/>
                <w:szCs w:val="21"/>
                <w:highlight w:val="none"/>
                <w:u w:val="none"/>
                <w:lang w:val="en-US" w:eastAsia="zh-CN" w:bidi="ar"/>
              </w:rPr>
              <w:t xml:space="preserve">知名品牌，应提供报关单</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计量泵</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 （加清洗液泵 1个；加上油液泵 1个）</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程序名称</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套程序（</w:t>
            </w:r>
            <w:r>
              <w:rPr>
                <w:rFonts w:hint="eastAsia" w:ascii="宋体" w:hAnsi="宋体" w:eastAsia="宋体" w:cs="宋体"/>
                <w:color w:val="auto"/>
                <w:sz w:val="21"/>
                <w:szCs w:val="21"/>
                <w:highlight w:val="none"/>
                <w:lang w:val="en-US" w:eastAsia="zh-CN"/>
              </w:rPr>
              <w:t xml:space="preserve">免费）</w:t>
            </w:r>
            <w:r>
              <w:rPr>
                <w:rFonts w:hint="eastAsia" w:ascii="宋体" w:hAnsi="宋体" w:eastAsia="宋体" w:cs="宋体"/>
                <w:i w:val="0"/>
                <w:iCs w:val="0"/>
                <w:color w:val="auto"/>
                <w:sz w:val="21"/>
                <w:szCs w:val="21"/>
                <w:highlight w:val="none"/>
                <w:u w:val="none"/>
                <w:lang w:val="en-US" w:eastAsia="zh-CN" w:bidi="ar"/>
              </w:rPr>
              <w:t xml:space="preserve">，用户可根据需要进行程序编辑</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流程控制</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清洗、漂洗、消毒、干燥全过程由控制器自动控制</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记录方式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自动打印过程曲线或报表、并记录运行温度、运行压力和A0值等关键参数</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触摸屏，显示清晰，触摸准确</w:t>
            </w:r>
            <w:r/>
          </w:p>
        </w:tc>
      </w:tr>
      <w:tr>
        <w:trPr>
          <w:trHeight w:val="9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安全保护</w:t>
            </w:r>
            <w:r/>
          </w:p>
        </w:tc>
        <w:tc>
          <w:tcPr>
            <w:tcBorders>
              <w:top w:val="single" w:color="000000" w:sz="4" w:space="0"/>
              <w:left w:val="single" w:color="000000" w:sz="4" w:space="0"/>
              <w:bottom w:val="single" w:color="000000" w:sz="4" w:space="0"/>
              <w:right w:val="single" w:color="000000" w:sz="4" w:space="0"/>
            </w:tcBorders>
            <w:tcW w:w="58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多种安全保护，包括但不限于：超温保护、防干烧保护、电机过流保护装置、真空泵空转保护、真空泵超时保护</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资质类文件</w:t>
            </w:r>
            <w:r/>
          </w:p>
        </w:tc>
        <w:tc>
          <w:tcPr>
            <w:tcBorders>
              <w:top w:val="single" w:color="000000" w:sz="4" w:space="0"/>
              <w:left w:val="single" w:color="000000" w:sz="4" w:space="0"/>
              <w:bottom w:val="single" w:color="000000" w:sz="4" w:space="0"/>
              <w:right w:val="single" w:color="000000" w:sz="4" w:space="0"/>
            </w:tcBorders>
            <w:tcW w:w="5834"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设备应具备卫生安全评价报告、电磁兼容报告；为保证设备主体使用寿命，生产厂家具有压力容器设计许可证和压力容器制造许可证</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产品分类</w:t>
            </w:r>
            <w:r/>
          </w:p>
        </w:tc>
        <w:tc>
          <w:tcPr>
            <w:tcBorders>
              <w:top w:val="single" w:color="000000" w:sz="4" w:space="0"/>
              <w:left w:val="single" w:color="000000" w:sz="4" w:space="0"/>
              <w:bottom w:val="single" w:color="000000" w:sz="4" w:space="0"/>
              <w:right w:val="single" w:color="000000" w:sz="4" w:space="0"/>
            </w:tcBorders>
            <w:tcW w:w="5834"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为保证消毒效果，要求投标产品为一类消毒产品。（提供投标产品在全国消毒产品网上备案信息服务平台查询网址和查询界面截图证明）</w:t>
            </w:r>
            <w:r/>
          </w:p>
        </w:tc>
      </w:tr>
      <w:tr>
        <w:trPr>
          <w:trHeight w:val="30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66"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压力表</w:t>
            </w:r>
            <w:r/>
          </w:p>
        </w:tc>
        <w:tc>
          <w:tcPr>
            <w:tcBorders>
              <w:top w:val="single" w:color="000000" w:sz="4" w:space="0"/>
              <w:left w:val="single" w:color="000000" w:sz="4" w:space="0"/>
              <w:bottom w:val="single" w:color="000000" w:sz="4" w:space="0"/>
              <w:right w:val="single" w:color="000000" w:sz="4" w:space="0"/>
            </w:tcBorders>
            <w:tcW w:w="5834"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为防止设备意外断电无法判断舱内与夹层（如有）的压力，要求设备在外罩上安装有≥1个机械式压力表</w:t>
            </w:r>
            <w:r/>
          </w:p>
        </w:tc>
      </w:tr>
    </w:tbl>
    <w:p>
      <w:pPr>
        <w:pStyle w:val="898"/>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p>
    <w:p>
      <w:pPr>
        <w:pStyle w:val="898"/>
        <w:ind w:firstLine="420"/>
        <w:jc w:val="both"/>
        <w:spacing w:before="0" w:beforeAutospacing="0" w:after="0" w:afterAutospacing="0" w:line="400" w:lineRule="exact"/>
        <w:widowControl w:val="off"/>
        <w:rPr>
          <w:sz w:val="21"/>
          <w:szCs w:val="21"/>
        </w:rPr>
      </w:pPr>
      <w:r>
        <w:rPr>
          <w:rFonts w:hint="eastAsia"/>
          <w:sz w:val="21"/>
          <w:szCs w:val="21"/>
        </w:rPr>
        <w:t xml:space="preserve">1、合同履行期限：签订合同后</w:t>
      </w:r>
      <w:r>
        <w:rPr>
          <w:rFonts w:hint="eastAsia"/>
          <w:sz w:val="21"/>
          <w:szCs w:val="21"/>
          <w:u w:val="single"/>
        </w:rPr>
        <w:t xml:space="preserve"> 30 </w:t>
      </w:r>
      <w:r>
        <w:rPr>
          <w:rFonts w:hint="eastAsia"/>
          <w:sz w:val="21"/>
          <w:szCs w:val="21"/>
        </w:rPr>
        <w:t xml:space="preserve">日历天内完成所需设备的采购、供应、运输、安装、调试等相关伴随服务，并通过采购人的验收。</w:t>
      </w:r>
      <w:r/>
    </w:p>
    <w:p>
      <w:pPr>
        <w:pStyle w:val="898"/>
        <w:ind w:firstLine="480"/>
        <w:jc w:val="both"/>
        <w:spacing w:before="0" w:beforeAutospacing="0" w:after="0" w:afterAutospacing="0" w:line="400" w:lineRule="exact"/>
        <w:widowControl w:val="off"/>
        <w:rPr>
          <w:sz w:val="21"/>
          <w:szCs w:val="21"/>
        </w:rPr>
      </w:pPr>
      <w:r>
        <w:rPr>
          <w:rFonts w:hint="eastAsia"/>
          <w:sz w:val="21"/>
          <w:szCs w:val="21"/>
        </w:rPr>
        <w:t xml:space="preserve">2、交货方式：</w:t>
      </w:r>
      <w:r>
        <w:rPr>
          <w:rFonts w:hint="eastAsia"/>
          <w:sz w:val="21"/>
          <w:szCs w:val="21"/>
          <w:lang w:eastAsia="zh-CN"/>
        </w:rPr>
        <w:t xml:space="preserve">全部货物到现场安装调试完毕并经验收合格后交付给甲方，并经甲方签字确认</w:t>
      </w:r>
      <w:r>
        <w:rPr>
          <w:rFonts w:hint="eastAsia"/>
          <w:sz w:val="21"/>
          <w:szCs w:val="21"/>
        </w:rPr>
        <w:t xml:space="preserve">。</w:t>
      </w:r>
      <w:r/>
    </w:p>
    <w:p>
      <w:pPr>
        <w:pStyle w:val="898"/>
        <w:ind w:firstLine="480"/>
        <w:jc w:val="both"/>
        <w:spacing w:before="0" w:beforeAutospacing="0" w:after="0" w:afterAutospacing="0" w:line="400" w:lineRule="exact"/>
        <w:widowControl w:val="off"/>
        <w:rPr>
          <w:sz w:val="21"/>
          <w:szCs w:val="21"/>
        </w:rPr>
      </w:pPr>
      <w:r>
        <w:rPr>
          <w:rFonts w:hint="eastAsia"/>
          <w:sz w:val="21"/>
          <w:szCs w:val="21"/>
        </w:rPr>
        <w:t xml:space="preserve">3、交货地点：甲方指定地点。</w:t>
      </w:r>
      <w:r/>
    </w:p>
    <w:p>
      <w:pPr>
        <w:pStyle w:val="898"/>
        <w:ind w:firstLine="480"/>
        <w:jc w:val="both"/>
        <w:spacing w:before="0" w:beforeAutospacing="0" w:after="0" w:afterAutospacing="0" w:line="400" w:lineRule="exact"/>
        <w:widowControl w:val="off"/>
        <w:rPr>
          <w:sz w:val="21"/>
          <w:szCs w:val="21"/>
        </w:rPr>
      </w:pPr>
      <w:r>
        <w:rPr>
          <w:rFonts w:hint="eastAsia"/>
          <w:sz w:val="21"/>
          <w:szCs w:val="21"/>
        </w:rPr>
        <w:t xml:space="preserve">4、付款方式：</w:t>
      </w:r>
      <w:r>
        <w:rPr>
          <w:rFonts w:hint="eastAsia"/>
          <w:b/>
          <w:bCs/>
          <w:sz w:val="21"/>
          <w:szCs w:val="21"/>
          <w:lang w:eastAsia="zh-CN"/>
        </w:rPr>
        <w:t xml:space="preserve">本项目预付款为合同价的30%</w:t>
      </w:r>
      <w:r>
        <w:rPr>
          <w:rFonts w:hint="eastAsia"/>
          <w:lang w:eastAsia="zh-CN"/>
        </w:rPr>
        <w:t xml:space="preserve">，</w:t>
      </w:r>
      <w:r>
        <w:rPr>
          <w:rFonts w:hint="eastAsia"/>
          <w:sz w:val="21"/>
          <w:szCs w:val="21"/>
          <w:lang w:eastAsia="zh-CN"/>
        </w:rPr>
        <w:t xml:space="preserve">在签订合同时，乙方明确书面表示无需预付款或者主动要求降低预付款比例的，甲方可就预付款比例作相应调整。</w:t>
      </w:r>
      <w:r>
        <w:rPr>
          <w:rFonts w:hint="eastAsia"/>
          <w:b/>
          <w:bCs/>
          <w:sz w:val="21"/>
          <w:szCs w:val="21"/>
          <w:lang w:eastAsia="zh-CN"/>
        </w:rPr>
        <w:t xml:space="preserve">货物安装调试完成并经甲方验收合格后付至合同价款的50%，验收合格满一年后付至合同价款的90%，余款待验收合格满四年后付清。（第一次付款时乙方须提供合法有效的全额税务发票。甲方收到乙方发票按合同支付方式支付）</w:t>
      </w:r>
      <w:r>
        <w:rPr>
          <w:rFonts w:hint="eastAsia"/>
          <w:b/>
          <w:bCs/>
          <w:sz w:val="21"/>
          <w:szCs w:val="21"/>
        </w:rPr>
        <w:t xml:space="preserve">。</w:t>
      </w:r>
      <w:r/>
    </w:p>
    <w:p>
      <w:pPr>
        <w:pStyle w:val="898"/>
        <w:ind w:firstLine="480"/>
        <w:jc w:val="both"/>
        <w:spacing w:before="0" w:beforeAutospacing="0" w:after="0" w:afterAutospacing="0" w:line="400" w:lineRule="exact"/>
        <w:widowControl w:val="off"/>
        <w:rPr>
          <w:rFonts w:hint="eastAsia"/>
          <w:sz w:val="21"/>
          <w:szCs w:val="21"/>
          <w:highlight w:val="none"/>
        </w:rPr>
      </w:pPr>
      <w:r>
        <w:rPr>
          <w:rFonts w:hint="eastAsia"/>
          <w:sz w:val="21"/>
          <w:szCs w:val="21"/>
        </w:rPr>
        <w:t xml:space="preserve">5、质保期要求：</w:t>
      </w:r>
      <w:r>
        <w:rPr>
          <w:rFonts w:hint="eastAsia"/>
          <w:sz w:val="21"/>
          <w:szCs w:val="21"/>
          <w:lang w:eastAsia="zh-CN"/>
        </w:rPr>
        <w:t xml:space="preserve">≥</w:t>
      </w:r>
      <w:r>
        <w:rPr>
          <w:rFonts w:hint="eastAsia"/>
          <w:sz w:val="21"/>
          <w:szCs w:val="21"/>
          <w:lang w:val="en-US" w:eastAsia="zh-CN"/>
        </w:rPr>
        <w:t xml:space="preserve">3</w:t>
      </w:r>
      <w:r>
        <w:rPr>
          <w:rFonts w:hint="eastAsia"/>
          <w:sz w:val="21"/>
          <w:szCs w:val="21"/>
        </w:rPr>
        <w:t xml:space="preserve">年（</w:t>
      </w:r>
      <w:r>
        <w:rPr>
          <w:rFonts w:hint="eastAsia" w:ascii="宋体" w:hAnsi="宋体" w:cs="仿宋"/>
          <w:bCs/>
          <w:color w:val="000000"/>
          <w:sz w:val="21"/>
          <w:szCs w:val="21"/>
          <w:lang w:val="en-US" w:eastAsia="zh-CN"/>
        </w:rPr>
        <w:t xml:space="preserve">原厂质保</w:t>
      </w:r>
      <w:r>
        <w:rPr>
          <w:rFonts w:hint="eastAsia"/>
          <w:sz w:val="21"/>
          <w:szCs w:val="21"/>
          <w:highlight w:val="none"/>
        </w:rPr>
        <w:t xml:space="preserve">）。</w:t>
      </w:r>
      <w:r/>
    </w:p>
    <w:p>
      <w:pPr>
        <w:pStyle w:val="898"/>
        <w:ind w:firstLine="480"/>
        <w:jc w:val="both"/>
        <w:spacing w:before="0" w:beforeAutospacing="0" w:after="0" w:afterAutospacing="0" w:line="400" w:lineRule="exact"/>
        <w:widowControl w:val="off"/>
        <w:rPr>
          <w:sz w:val="21"/>
          <w:szCs w:val="21"/>
        </w:rPr>
      </w:pPr>
      <w:r>
        <w:rPr>
          <w:rFonts w:hint="eastAsia"/>
          <w:sz w:val="21"/>
          <w:szCs w:val="21"/>
          <w:highlight w:val="none"/>
        </w:rPr>
        <w:t xml:space="preserve">6、</w:t>
      </w:r>
      <w:r>
        <w:rPr>
          <w:rFonts w:hint="eastAsia" w:ascii="宋体" w:hAnsi="宋体" w:cs="仿宋"/>
          <w:bCs/>
          <w:color w:val="000000"/>
          <w:sz w:val="21"/>
          <w:szCs w:val="21"/>
          <w:highlight w:val="none"/>
          <w:lang w:val="en-US" w:eastAsia="zh-CN"/>
        </w:rPr>
        <w:t xml:space="preserve">免费送货至医院指定地点安装调试，免费培训设备管理人员、</w:t>
      </w:r>
      <w:r>
        <w:rPr>
          <w:rFonts w:hint="eastAsia" w:ascii="宋体" w:hAnsi="宋体" w:cs="仿宋"/>
          <w:bCs/>
          <w:color w:val="000000"/>
          <w:sz w:val="21"/>
          <w:szCs w:val="21"/>
          <w:lang w:val="en-US" w:eastAsia="zh-CN"/>
        </w:rPr>
        <w:t xml:space="preserve">操作人员至能熟练操作为止。</w:t>
      </w:r>
      <w:r>
        <w:rPr>
          <w:rFonts w:hint="eastAsia"/>
          <w:sz w:val="21"/>
          <w:szCs w:val="21"/>
        </w:rPr>
        <w:t xml:space="preserve">包装和运输要求：供应商对于投标产品的商品包装、快递包装应按照《关于印发《商品包装政府采购需求标准（试行）》、《快递包装政府采购需求标准（试行）》的通知》（财办库〔2020〕123号）执行。</w:t>
      </w:r>
      <w:r/>
    </w:p>
    <w:p>
      <w:pPr>
        <w:pStyle w:val="898"/>
        <w:ind w:firstLine="480"/>
        <w:jc w:val="both"/>
        <w:spacing w:before="0" w:beforeAutospacing="0" w:after="0" w:afterAutospacing="0" w:line="400" w:lineRule="exact"/>
        <w:widowControl w:val="off"/>
        <w:rPr>
          <w:sz w:val="21"/>
          <w:szCs w:val="21"/>
        </w:rPr>
      </w:pPr>
      <w:r>
        <w:rPr>
          <w:rFonts w:hint="eastAsia"/>
          <w:sz w:val="21"/>
          <w:szCs w:val="21"/>
        </w:rPr>
        <w:t xml:space="preserve">7、质量要求及验收标准：相关质量验收规范合格标准，验收执行国家或行业最新标准、招标文件各项技术参数指标、投标文件投标承诺所达到的各项技术参数指标（招标文件、投标文件、国家或行业标准不一致处以最高标准执行）。</w:t>
      </w:r>
      <w:r/>
    </w:p>
    <w:p>
      <w:pPr>
        <w:pStyle w:val="898"/>
        <w:ind w:firstLine="480"/>
        <w:jc w:val="both"/>
        <w:spacing w:before="0" w:beforeAutospacing="0" w:after="0" w:afterAutospacing="0" w:line="400" w:lineRule="exact"/>
        <w:widowControl w:val="off"/>
        <w:rPr>
          <w:rFonts w:hint="eastAsia" w:ascii="宋体" w:hAnsi="宋体" w:cs="仿宋"/>
          <w:bCs/>
          <w:color w:val="000000"/>
          <w:sz w:val="21"/>
          <w:szCs w:val="21"/>
          <w:lang w:val="en-US" w:eastAsia="zh-CN"/>
        </w:rPr>
      </w:pPr>
      <w:r>
        <w:rPr>
          <w:rFonts w:hint="eastAsia"/>
          <w:sz w:val="21"/>
          <w:szCs w:val="21"/>
        </w:rPr>
        <w:t xml:space="preserve">8、</w:t>
      </w:r>
      <w:r>
        <w:rPr>
          <w:rFonts w:hint="eastAsia" w:ascii="宋体" w:hAnsi="宋体" w:cs="仿宋"/>
          <w:bCs/>
          <w:color w:val="000000"/>
          <w:sz w:val="21"/>
          <w:szCs w:val="21"/>
          <w:lang w:val="en-US" w:eastAsia="zh-CN"/>
        </w:rPr>
        <w:t xml:space="preserve">投标产品属于医疗器械注册范畴的，供货时须提供投标产品的《医疗器械注册证》。</w:t>
      </w:r>
      <w:r/>
    </w:p>
    <w:p>
      <w:pPr>
        <w:pStyle w:val="898"/>
        <w:ind w:firstLine="480"/>
        <w:jc w:val="both"/>
        <w:spacing w:before="0" w:beforeAutospacing="0" w:after="0" w:afterAutospacing="0" w:line="400" w:lineRule="exact"/>
        <w:widowControl w:val="off"/>
        <w:rPr>
          <w:rFonts w:hint="eastAsia" w:ascii="宋体" w:hAnsi="宋体" w:cs="仿宋"/>
          <w:bCs/>
          <w:color w:val="000000"/>
          <w:sz w:val="21"/>
          <w:szCs w:val="21"/>
          <w:lang w:val="en-US" w:eastAsia="zh-CN"/>
        </w:rPr>
      </w:pPr>
      <w:r>
        <w:rPr>
          <w:rFonts w:hint="eastAsia" w:ascii="宋体" w:hAnsi="宋体" w:cs="仿宋"/>
          <w:bCs/>
          <w:color w:val="000000"/>
          <w:sz w:val="21"/>
          <w:szCs w:val="21"/>
          <w:lang w:val="en-US" w:eastAsia="zh-CN"/>
        </w:rPr>
        <w:t xml:space="preserve">9、所有设备必须是全新的，未曾使用过的原装产品，出厂日期与合同签订日期≤3个月。</w:t>
      </w:r>
      <w:r/>
    </w:p>
    <w:p>
      <w:pPr>
        <w:pStyle w:val="898"/>
        <w:ind w:firstLine="480"/>
        <w:jc w:val="both"/>
        <w:spacing w:before="0" w:beforeAutospacing="0" w:after="0" w:afterAutospacing="0" w:line="400" w:lineRule="exact"/>
        <w:widowControl w:val="off"/>
        <w:rPr>
          <w:rFonts w:hint="eastAsia" w:ascii="宋体" w:hAnsi="宋体" w:cs="仿宋"/>
          <w:bCs/>
          <w:color w:val="000000"/>
          <w:sz w:val="21"/>
          <w:szCs w:val="21"/>
          <w:highlight w:val="none"/>
          <w:lang w:val="en-US" w:eastAsia="zh-CN"/>
        </w:rPr>
      </w:pPr>
      <w:r>
        <w:rPr>
          <w:rFonts w:hint="eastAsia" w:ascii="宋体" w:hAnsi="宋体" w:cs="仿宋"/>
          <w:bCs/>
          <w:color w:val="000000"/>
          <w:sz w:val="21"/>
          <w:szCs w:val="21"/>
          <w:highlight w:val="none"/>
          <w:lang w:val="en-US" w:eastAsia="zh-CN"/>
        </w:rPr>
        <w:t xml:space="preserve">10、</w:t>
      </w:r>
      <w:r>
        <w:rPr>
          <w:rFonts w:hint="eastAsia" w:ascii="宋体" w:hAnsi="宋体" w:cs="仿宋"/>
          <w:b/>
          <w:bCs w:val="0"/>
          <w:color w:val="000000"/>
          <w:sz w:val="21"/>
          <w:szCs w:val="21"/>
          <w:highlight w:val="none"/>
          <w:lang w:val="en-US" w:eastAsia="zh-CN"/>
        </w:rPr>
        <w:t xml:space="preserve">根据配置要求提供出厂装箱清单</w:t>
      </w:r>
      <w:r>
        <w:rPr>
          <w:rFonts w:hint="eastAsia" w:ascii="宋体" w:hAnsi="宋体" w:cs="仿宋"/>
          <w:bCs/>
          <w:color w:val="000000"/>
          <w:sz w:val="21"/>
          <w:szCs w:val="21"/>
          <w:highlight w:val="none"/>
          <w:lang w:val="en-US" w:eastAsia="zh-CN"/>
        </w:rPr>
        <w:t xml:space="preserve">，(主要配置必须符合标书)，未列出的维修配件将视为终身免费维修及更换内容。</w:t>
      </w:r>
      <w:r/>
    </w:p>
    <w:p>
      <w:pPr>
        <w:pStyle w:val="898"/>
        <w:ind w:firstLine="480"/>
        <w:jc w:val="both"/>
        <w:spacing w:before="0" w:beforeAutospacing="0" w:after="0" w:afterAutospacing="0" w:line="400" w:lineRule="exact"/>
        <w:widowControl w:val="off"/>
        <w:rPr>
          <w:rFonts w:hint="eastAsia" w:cs="仿宋"/>
          <w:bCs/>
          <w:color w:val="000000"/>
          <w:sz w:val="21"/>
          <w:szCs w:val="21"/>
          <w:lang w:val="en-US" w:eastAsia="zh-CN"/>
        </w:rPr>
      </w:pPr>
      <w:r>
        <w:rPr>
          <w:rFonts w:hint="eastAsia" w:cs="仿宋"/>
          <w:bCs/>
          <w:color w:val="000000"/>
          <w:sz w:val="21"/>
          <w:szCs w:val="21"/>
          <w:lang w:val="en-US" w:eastAsia="zh-CN"/>
        </w:rPr>
        <w:t xml:space="preserve">11、保修范围包括合同中所有配置。并确保设备保修期内开机率≥95%，如设备故障停机率超过5%（一年按365天计算，每年18天），逾期修复设备的，每超过一天，保修期延长7天，甲方有权扣减500元/天，不足一天按一天计。</w:t>
      </w:r>
      <w:r/>
    </w:p>
    <w:p>
      <w:pPr>
        <w:pStyle w:val="898"/>
        <w:ind w:firstLine="480"/>
        <w:jc w:val="both"/>
        <w:spacing w:before="0" w:beforeAutospacing="0" w:after="0" w:afterAutospacing="0" w:line="400" w:lineRule="exact"/>
        <w:widowControl w:val="off"/>
        <w:rPr>
          <w:rFonts w:hint="eastAsia" w:cs="仿宋"/>
          <w:bCs/>
          <w:color w:val="000000"/>
          <w:sz w:val="21"/>
          <w:szCs w:val="21"/>
          <w:lang w:val="en-US" w:eastAsia="zh-CN"/>
        </w:rPr>
      </w:pPr>
      <w:r>
        <w:rPr>
          <w:rFonts w:hint="eastAsia" w:cs="仿宋"/>
          <w:bCs/>
          <w:color w:val="000000"/>
          <w:sz w:val="21"/>
          <w:szCs w:val="21"/>
          <w:lang w:val="en-US" w:eastAsia="zh-CN"/>
        </w:rPr>
        <w:t xml:space="preserve">12、如设备发生故障，乙方在接到甲方报修电话后30分钟响应，12小时赶到现场，24小时内修复或提供备用机，否则甲方可自行采取必要的措施，由此产生的风险和费用由乙方承担。如有特殊情况，乙方应立即电话通知甲方不能响应的原因，在获得甲方同意后，才可推迟响应时间。</w:t>
      </w:r>
      <w:r/>
    </w:p>
    <w:p>
      <w:pPr>
        <w:pStyle w:val="898"/>
        <w:ind w:firstLine="480"/>
        <w:jc w:val="both"/>
        <w:spacing w:before="0" w:beforeAutospacing="0" w:after="0" w:afterAutospacing="0" w:line="400" w:lineRule="exact"/>
        <w:widowControl w:val="off"/>
        <w:rPr>
          <w:rFonts w:hint="default" w:cs="仿宋"/>
          <w:bCs/>
          <w:color w:val="000000"/>
          <w:sz w:val="21"/>
          <w:szCs w:val="21"/>
          <w:lang w:val="en-US" w:eastAsia="zh-CN"/>
        </w:rPr>
      </w:pPr>
      <w:r>
        <w:rPr>
          <w:rFonts w:hint="eastAsia" w:cs="仿宋"/>
          <w:bCs/>
          <w:color w:val="000000"/>
          <w:sz w:val="21"/>
          <w:szCs w:val="21"/>
          <w:lang w:val="en-US" w:eastAsia="zh-CN"/>
        </w:rPr>
        <w:t xml:space="preserve">13、保修期内每年4次定期维护，并经甲方签字确认，留档备查。</w:t>
      </w:r>
      <w:r/>
    </w:p>
    <w:p>
      <w:pPr>
        <w:pStyle w:val="898"/>
        <w:ind w:firstLine="482"/>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五、其他内容</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1、供应商应当优先采购节能、环境标志产品，供应商需提供实施方案和售后服务方案。</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2、投标产品制造商需从质量保证、环境影响、安全生产等方面加强生产经营全过程管控的能力，不断加强品质控制、环境保护、安全生产等方面的规范性。</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3、采购标的中的核心产品为“</w:t>
      </w:r>
      <w:r>
        <w:rPr>
          <w:rFonts w:hint="eastAsia"/>
          <w:color w:val="000000"/>
          <w:sz w:val="21"/>
          <w:szCs w:val="21"/>
          <w:highlight w:val="none"/>
          <w:lang w:val="en-US" w:eastAsia="zh-CN"/>
        </w:rPr>
        <w:t xml:space="preserve"> </w:t>
      </w:r>
      <w:r>
        <w:rPr>
          <w:rFonts w:hint="eastAsia" w:ascii="宋体" w:hAnsi="宋体" w:eastAsia="宋体" w:cs="宋体"/>
          <w:b/>
          <w:bCs/>
          <w:i w:val="0"/>
          <w:iCs w:val="0"/>
          <w:color w:val="auto"/>
          <w:sz w:val="24"/>
          <w:szCs w:val="24"/>
          <w:u w:val="none"/>
          <w:lang w:val="en-US" w:eastAsia="zh-CN" w:bidi="ar"/>
        </w:rPr>
        <w:t xml:space="preserve">脉动真空灭菌器</w:t>
      </w:r>
      <w:r>
        <w:rPr>
          <w:rFonts w:hint="eastAsia"/>
          <w:color w:val="000000"/>
          <w:sz w:val="21"/>
          <w:szCs w:val="21"/>
          <w:highlight w:val="none"/>
          <w:lang w:val="en-US" w:eastAsia="zh-CN"/>
        </w:rPr>
        <w:t xml:space="preserve"> </w:t>
      </w:r>
      <w:r>
        <w:rPr>
          <w:rFonts w:hint="eastAsia" w:ascii="宋体" w:hAnsi="宋体" w:eastAsia="宋体" w:cs="宋体"/>
          <w:sz w:val="21"/>
          <w:szCs w:val="21"/>
        </w:rPr>
        <w:t xml:space="preserve">”。</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4、本项目不接受进口产品投标。</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5、本项目采购标的所属行业划分为</w:t>
      </w:r>
      <w:r>
        <w:rPr>
          <w:rFonts w:hint="eastAsia" w:ascii="宋体" w:hAnsi="宋体" w:eastAsia="宋体" w:cs="宋体"/>
          <w:b/>
          <w:sz w:val="21"/>
          <w:szCs w:val="21"/>
          <w:u w:val="single"/>
        </w:rPr>
        <w:t xml:space="preserve">制造业</w:t>
      </w:r>
      <w:r>
        <w:rPr>
          <w:rFonts w:hint="eastAsia" w:ascii="宋体" w:hAnsi="宋体" w:eastAsia="宋体" w:cs="宋体"/>
          <w:sz w:val="21"/>
          <w:szCs w:val="21"/>
        </w:rPr>
        <w:t xml:space="preserve">。</w:t>
      </w:r>
      <w:r/>
    </w:p>
    <w:p>
      <w:pPr>
        <w:pStyle w:val="8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98"/>
        <w:ind w:firstLine="602"/>
        <w:jc w:val="both"/>
        <w:keepLines w:val="0"/>
        <w:keepNext w:val="0"/>
        <w:pageBreakBefore w:val="0"/>
        <w:spacing w:beforeAutospacing="0" w:afterAutospacing="0" w:line="360" w:lineRule="auto"/>
        <w:rPr>
          <w:highlight w:val="none"/>
        </w:rPr>
      </w:pPr>
      <w:r/>
      <w:bookmarkStart w:id="164" w:name="_Toc120614281"/>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9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9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w:t>
      </w:r>
      <w:r>
        <w:rPr>
          <w:rFonts w:hint="eastAsia" w:ascii="宋体" w:hAnsi="宋体" w:eastAsia="宋体" w:cs="宋体"/>
          <w:sz w:val="24"/>
          <w:szCs w:val="24"/>
          <w:highlight w:val="none"/>
          <w:lang w:val="en-US" w:eastAsia="zh-CN"/>
        </w:rPr>
        <w:t xml:space="preserve">中小</w:t>
      </w:r>
      <w:r>
        <w:rPr>
          <w:rFonts w:hint="eastAsia" w:ascii="宋体" w:hAnsi="宋体" w:eastAsia="宋体" w:cs="宋体"/>
          <w:sz w:val="24"/>
          <w:szCs w:val="24"/>
          <w:highlight w:val="none"/>
        </w:rPr>
        <w:t xml:space="preserve">企业声明函》。</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p>
    <w:p>
      <w:pPr>
        <w:pStyle w:val="907"/>
        <w:ind w:firstLine="3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（1）本项目对残疾人福利性单位视同小型、微型企业，给予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pStyle w:val="907"/>
        <w:ind w:firstLine="3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（1）本项目对监狱和戒毒企业（简称监狱企业）视同小型、微型企业，给予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pStyle w:val="907"/>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07"/>
        <w:ind w:firstLine="36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6、联合体各方均为小型、微型企业（残疾人福利单位、监狱企业）的，联合体享受20%的价格扣除</w:t>
      </w:r>
      <w:r>
        <w:rPr>
          <w:rFonts w:hint="eastAsia" w:ascii="宋体" w:hAnsi="宋体" w:eastAsia="宋体" w:cs="宋体"/>
          <w:sz w:val="24"/>
          <w:szCs w:val="24"/>
          <w:highlight w:val="none"/>
          <w:lang w:eastAsia="zh-CN"/>
        </w:rPr>
        <w:t xml:space="preserve">。</w:t>
      </w:r>
      <w:r/>
    </w:p>
    <w:p>
      <w:pPr>
        <w:ind w:firstLine="482"/>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评标方法与评标标准</w:t>
      </w:r>
      <w:r/>
    </w:p>
    <w:tbl>
      <w:tblPr>
        <w:tblStyle w:val="890"/>
        <w:tblW w:w="10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41"/>
        <w:gridCol w:w="821"/>
        <w:gridCol w:w="7625"/>
      </w:tblGrid>
      <w:tr>
        <w:trPr>
          <w:jc w:val="center"/>
          <w:trHeight w:val="559"/>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序号</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评分因素及权重</w:t>
            </w:r>
            <w:r/>
          </w:p>
        </w:tc>
        <w:tc>
          <w:tcPr>
            <w:tcW w:w="82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分值</w:t>
            </w:r>
            <w:r/>
          </w:p>
        </w:tc>
        <w:tc>
          <w:tcPr>
            <w:tcW w:w="7625"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评分标准</w:t>
            </w:r>
            <w:r/>
          </w:p>
        </w:tc>
      </w:tr>
      <w:tr>
        <w:trPr>
          <w:jc w:val="center"/>
          <w:trHeight w:val="90"/>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价格</w:t>
            </w:r>
            <w:r/>
          </w:p>
        </w:tc>
        <w:tc>
          <w:tcPr>
            <w:tcW w:w="821" w:type="dxa"/>
            <w:vAlign w:val="center"/>
            <w:textDirection w:val="lrTb"/>
            <w:noWrap w:val="false"/>
          </w:tcPr>
          <w:p>
            <w:pPr>
              <w:ind w:left="0"/>
              <w:jc w:val="center"/>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w:t>
            </w:r>
            <w:r/>
          </w:p>
        </w:tc>
        <w:tc>
          <w:tcPr>
            <w:tcW w:w="7625"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价格分采用低价优先法计算，即满足招标文件要求且投标报价最低的为评标基准价，其价格分为满分。其他供应商的价格分统一按下列公式计算：报价得分=（评标基准价/投标报价）×</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lang w:val="zh-CN" w:eastAsia="zh-CN"/>
              </w:rPr>
              <w:t xml:space="preserve">，价格分保留两位小数。</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评审委员会启动异常低价投标 （响应）审查的情形和具体要求：</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评审过程中出现下列情形之一的，评审委员会应当启动异常低价投标（响应）审查程序：</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投标（响应）报价低于采购项目预算 50% 的，即投标（响 应）报价&lt;采购项目预</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算×50% ；</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投标（响应）报价低于采购项目最高限价 45% 的，即投 标（响应）报价&lt;采购项</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目最高限价×45% ；</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评审委员会认定的供应商报价过低、有可能影响产品质 量或者不能诚信履约的其</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他情形。</w:t>
            </w:r>
            <w:r/>
          </w:p>
          <w:p>
            <w:pPr>
              <w:numPr>
                <w:ilvl w:val="0"/>
                <w:numId w:val="0"/>
              </w:numPr>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 （二）启动异常低价投标（响应）审查后，评审委员会应当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p>
          <w:p>
            <w:pPr>
              <w:pStyle w:val="893"/>
              <w:rPr>
                <w:rFonts w:hint="eastAsia"/>
                <w:lang w:val="zh-CN"/>
              </w:rPr>
            </w:pPr>
            <w:r>
              <w:rPr>
                <w:rFonts w:hint="eastAsia"/>
                <w:lang w:val="zh-CN"/>
              </w:rPr>
            </w:r>
            <w:r/>
          </w:p>
        </w:tc>
      </w:tr>
      <w:tr>
        <w:trPr>
          <w:jc w:val="center"/>
          <w:trHeight w:val="3217"/>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w:t>
            </w:r>
            <w:r/>
          </w:p>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参数</w:t>
            </w:r>
            <w:r/>
          </w:p>
        </w:tc>
        <w:tc>
          <w:tcPr>
            <w:tcW w:w="821" w:type="dxa"/>
            <w:vAlign w:val="center"/>
            <w:textDirection w:val="lrTb"/>
            <w:noWrap w:val="false"/>
          </w:tcPr>
          <w:p>
            <w:pPr>
              <w:ind w:left="0"/>
              <w:jc w:val="center"/>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42   </w:t>
            </w:r>
            <w:r/>
          </w:p>
        </w:tc>
        <w:tc>
          <w:tcPr>
            <w:tcW w:w="7625" w:type="dxa"/>
            <w:vAlign w:val="center"/>
            <w:textDirection w:val="lrTb"/>
            <w:noWrap w:val="false"/>
          </w:tcPr>
          <w:p>
            <w:pPr>
              <w:ind w:left="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要求的符合性，即对提供货物的技术参数、配置、性能是否符合或优于采购文件要求进行评价。完全符合技术要求的得42分；采购清单中带“▲”参数为重要参数，每有一项负偏离的，扣3分；其他参数为一般参数，每有一项负偏离的，扣1分；扣完为止。</w:t>
            </w:r>
            <w:r/>
          </w:p>
          <w:p>
            <w:pPr>
              <w:ind w:left="0"/>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注：1、带▲的参数须提供佐证材料</w:t>
            </w:r>
            <w:r>
              <w:rPr>
                <w:rFonts w:hint="eastAsia" w:ascii="宋体" w:hAnsi="宋体" w:cs="宋体"/>
                <w:b w:val="0"/>
                <w:bCs w:val="0"/>
                <w:color w:val="auto"/>
                <w:sz w:val="21"/>
                <w:szCs w:val="21"/>
                <w:highlight w:val="none"/>
                <w:lang w:val="en-US" w:eastAsia="zh-CN"/>
              </w:rPr>
              <w:t xml:space="preserve">（技术白皮书或第三方检测证明或厂家发布的彩页等）</w:t>
            </w:r>
            <w:r>
              <w:rPr>
                <w:rFonts w:hint="eastAsia" w:ascii="宋体" w:hAnsi="宋体" w:eastAsia="宋体" w:cs="宋体"/>
                <w:b w:val="0"/>
                <w:bCs w:val="0"/>
                <w:color w:val="auto"/>
                <w:sz w:val="21"/>
                <w:szCs w:val="21"/>
                <w:highlight w:val="none"/>
                <w:lang w:val="en-US" w:eastAsia="zh-CN"/>
              </w:rPr>
              <w:t xml:space="preserve">，标明页码并明显标注，未明显标注可能造成失分情况。</w:t>
            </w:r>
            <w:r/>
          </w:p>
          <w:p>
            <w:pPr>
              <w:numPr>
                <w:ilvl w:val="0"/>
                <w:numId w:val="1"/>
              </w:numPr>
              <w:jc w:val="left"/>
              <w:keepLines w:val="0"/>
              <w:keepNext w:val="0"/>
              <w:pageBreakBefore w:val="0"/>
              <w:spacing w:line="32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带</w:t>
            </w:r>
            <w:r>
              <w:rPr>
                <w:rFonts w:hint="eastAsia" w:ascii="宋体" w:hAnsi="宋体" w:eastAsia="宋体" w:cs="宋体"/>
                <w:b w:val="0"/>
                <w:bCs w:val="0"/>
                <w:color w:val="auto"/>
                <w:sz w:val="21"/>
                <w:szCs w:val="21"/>
                <w:highlight w:val="none"/>
                <w:lang w:val="en-US" w:eastAsia="zh-CN"/>
              </w:rPr>
              <w:t xml:space="preserve">★的参数为本项目基本需求，须提供佐证材料</w:t>
            </w:r>
            <w:r>
              <w:rPr>
                <w:rFonts w:hint="eastAsia" w:ascii="宋体" w:hAnsi="宋体" w:cs="宋体"/>
                <w:b w:val="0"/>
                <w:bCs w:val="0"/>
                <w:color w:val="auto"/>
                <w:sz w:val="21"/>
                <w:szCs w:val="21"/>
                <w:highlight w:val="none"/>
                <w:lang w:val="en-US" w:eastAsia="zh-CN"/>
              </w:rPr>
              <w:t xml:space="preserve">（技术白皮书或第三方检测证明或厂家发布的彩页等）</w:t>
            </w:r>
            <w:r>
              <w:rPr>
                <w:rFonts w:hint="eastAsia" w:ascii="宋体" w:hAnsi="宋体" w:eastAsia="宋体" w:cs="宋体"/>
                <w:b w:val="0"/>
                <w:bCs w:val="0"/>
                <w:color w:val="auto"/>
                <w:sz w:val="21"/>
                <w:szCs w:val="21"/>
                <w:highlight w:val="none"/>
                <w:lang w:val="en-US" w:eastAsia="zh-CN"/>
              </w:rPr>
              <w:t xml:space="preserve">，标明页码并明显标注，不得负偏离，否则作无效标处理。</w:t>
            </w:r>
            <w:r/>
          </w:p>
        </w:tc>
      </w:tr>
      <w:tr>
        <w:trPr>
          <w:jc w:val="center"/>
          <w:trHeight w:val="90"/>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w:t>
            </w:r>
            <w:r/>
          </w:p>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实力</w:t>
            </w:r>
            <w:r/>
          </w:p>
        </w:tc>
        <w:tc>
          <w:tcPr>
            <w:tcW w:w="82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7625" w:type="dxa"/>
            <w:vAlign w:val="center"/>
            <w:textDirection w:val="lrTb"/>
            <w:noWrap w:val="false"/>
          </w:tcPr>
          <w:p>
            <w:pPr>
              <w:numPr>
                <w:ilvl w:val="0"/>
                <w:numId w:val="0"/>
              </w:numPr>
              <w:jc w:val="left"/>
              <w:keepLines w:val="0"/>
              <w:keepNext w:val="0"/>
              <w:pageBreakBefore w:val="0"/>
              <w:spacing w:line="32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投标人或制造商具有ISO9001质量体系证书、ISO13485质量体系证书、环境管理体系认证(ISO14001)、职业健康安全管理体系认证(ISO45001)每提供一份得1.5分，本项最高得6分。</w:t>
            </w:r>
            <w:r/>
          </w:p>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备注：提供以上有效期内认证证书的彩色扫描件并加盖投标人公章，且须提供中国国家认证认可监督管理委员会官方网站(www.cnca.gov.cn) 查询截图并加盖投标人公章方可计分；同一证书不重复计分。)</w:t>
            </w:r>
            <w:r/>
          </w:p>
        </w:tc>
      </w:tr>
      <w:tr>
        <w:trPr>
          <w:jc w:val="center"/>
          <w:trHeight w:val="575"/>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1141" w:type="dxa"/>
            <w:vAlign w:val="center"/>
            <w:textDirection w:val="lrTb"/>
            <w:noWrap w:val="false"/>
          </w:tcPr>
          <w:p>
            <w:pPr>
              <w:ind w:left="0"/>
              <w:jc w:val="center"/>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产品培训计划</w:t>
            </w:r>
            <w:r/>
          </w:p>
        </w:tc>
        <w:tc>
          <w:tcPr>
            <w:tcW w:w="82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p>
        </w:tc>
        <w:tc>
          <w:tcPr>
            <w:tcW w:w="7625"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投标人提供详尽的产品培训计划、使用培训计划，从科学、合理、可行性方面进行评比，内容非常完整、具体、合理、切实可行得5分，内容比较完整、具体、合理、可行的得 3.5分，内容基本完整、可行得2 分。 </w:t>
            </w:r>
            <w:r/>
          </w:p>
          <w:p>
            <w:pPr>
              <w:numPr>
                <w:ilvl w:val="0"/>
                <w:numId w:val="0"/>
              </w:numPr>
              <w:ind w:left="0" w:firstLine="0"/>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提供方案得基本分0.5分，不提供或提供方案明细不符合本项目特点的不得分，本项最高得5分。</w:t>
            </w:r>
            <w:r/>
          </w:p>
        </w:tc>
      </w:tr>
      <w:tr>
        <w:trPr>
          <w:jc w:val="center"/>
          <w:trHeight w:val="575"/>
        </w:trPr>
        <w:tc>
          <w:tcPr>
            <w:tcW w:w="752" w:type="dxa"/>
            <w:vAlign w:val="center"/>
            <w:textDirection w:val="lrTb"/>
            <w:noWrap w:val="false"/>
          </w:tcPr>
          <w:p>
            <w:pPr>
              <w:ind w:left="0" w:firstLine="0"/>
              <w:jc w:val="center"/>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2"/>
                <w:szCs w:val="22"/>
                <w:highlight w:val="none"/>
                <w:lang w:val="en-US" w:eastAsia="zh-CN"/>
              </w:rPr>
              <w:t xml:space="preserve">5</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产品质量保证措施</w:t>
            </w:r>
            <w:r/>
          </w:p>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821" w:type="dxa"/>
            <w:vAlign w:val="center"/>
            <w:textDirection w:val="lrTb"/>
            <w:noWrap w:val="false"/>
          </w:tcPr>
          <w:p>
            <w:pPr>
              <w:ind w:left="0"/>
              <w:jc w:val="center"/>
              <w:keepLines w:val="0"/>
              <w:keepNext w:val="0"/>
              <w:pageBreakBefore w:val="0"/>
              <w:spacing w:line="40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p>
        </w:tc>
        <w:tc>
          <w:tcPr>
            <w:tcW w:w="762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投标人所投产品具有明确的供货安装调试方案、质量保证措施、保证使用单位能熟练操作维护和正常使用。</w:t>
            </w:r>
            <w:r/>
          </w:p>
          <w:p>
            <w:pPr>
              <w:jc w:val="left"/>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w:t>
            </w:r>
            <w:r>
              <w:rPr>
                <w:rFonts w:hint="eastAsia" w:ascii="宋体" w:hAnsi="宋体" w:cs="宋体"/>
                <w:b w:val="0"/>
                <w:bCs w:val="0"/>
                <w:color w:val="auto"/>
                <w:sz w:val="21"/>
                <w:szCs w:val="21"/>
                <w:highlight w:val="none"/>
                <w:lang w:val="en-US" w:eastAsia="zh-CN"/>
              </w:rPr>
              <w:t xml:space="preserve">非常</w:t>
            </w:r>
            <w:r>
              <w:rPr>
                <w:rFonts w:hint="eastAsia" w:ascii="宋体" w:hAnsi="宋体" w:eastAsia="宋体" w:cs="宋体"/>
                <w:b w:val="0"/>
                <w:bCs w:val="0"/>
                <w:color w:val="auto"/>
                <w:sz w:val="21"/>
                <w:szCs w:val="21"/>
                <w:highlight w:val="none"/>
                <w:lang w:val="en-US" w:eastAsia="zh-CN"/>
              </w:rPr>
              <w:t xml:space="preserve">完整、具体、合理、切实可行得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分，内容</w:t>
            </w:r>
            <w:r>
              <w:rPr>
                <w:rFonts w:hint="eastAsia" w:ascii="宋体" w:hAnsi="宋体" w:cs="宋体"/>
                <w:b w:val="0"/>
                <w:bCs w:val="0"/>
                <w:color w:val="auto"/>
                <w:sz w:val="21"/>
                <w:szCs w:val="21"/>
                <w:highlight w:val="none"/>
                <w:lang w:val="en-US" w:eastAsia="zh-CN"/>
              </w:rPr>
              <w:t xml:space="preserve">比较</w:t>
            </w:r>
            <w:r>
              <w:rPr>
                <w:rFonts w:hint="eastAsia" w:ascii="宋体" w:hAnsi="宋体" w:eastAsia="宋体" w:cs="宋体"/>
                <w:b w:val="0"/>
                <w:bCs w:val="0"/>
                <w:color w:val="auto"/>
                <w:sz w:val="21"/>
                <w:szCs w:val="21"/>
                <w:highlight w:val="none"/>
                <w:lang w:val="en-US" w:eastAsia="zh-CN"/>
              </w:rPr>
              <w:t xml:space="preserve">完整、可行</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3.5</w:t>
            </w:r>
            <w:r>
              <w:rPr>
                <w:rFonts w:hint="eastAsia" w:ascii="宋体" w:hAnsi="宋体" w:eastAsia="宋体" w:cs="宋体"/>
                <w:b w:val="0"/>
                <w:bCs w:val="0"/>
                <w:color w:val="auto"/>
                <w:sz w:val="21"/>
                <w:szCs w:val="21"/>
                <w:highlight w:val="none"/>
                <w:lang w:val="en-US" w:eastAsia="zh-CN"/>
              </w:rPr>
              <w:t xml:space="preserve">分，内容</w:t>
            </w:r>
            <w:r>
              <w:rPr>
                <w:rFonts w:hint="eastAsia" w:ascii="宋体" w:hAnsi="宋体" w:cs="宋体"/>
                <w:b w:val="0"/>
                <w:bCs w:val="0"/>
                <w:color w:val="auto"/>
                <w:sz w:val="21"/>
                <w:szCs w:val="21"/>
                <w:highlight w:val="none"/>
                <w:lang w:val="en-US" w:eastAsia="zh-CN"/>
              </w:rPr>
              <w:t xml:space="preserve">基本</w:t>
            </w:r>
            <w:r>
              <w:rPr>
                <w:rFonts w:hint="eastAsia" w:ascii="宋体" w:hAnsi="宋体" w:eastAsia="宋体" w:cs="宋体"/>
                <w:b w:val="0"/>
                <w:bCs w:val="0"/>
                <w:color w:val="auto"/>
                <w:sz w:val="21"/>
                <w:szCs w:val="21"/>
                <w:highlight w:val="none"/>
                <w:lang w:val="en-US" w:eastAsia="zh-CN"/>
              </w:rPr>
              <w:t xml:space="preserve">完整、可行</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 </w:t>
            </w:r>
            <w:r>
              <w:rPr>
                <w:rFonts w:hint="eastAsia" w:ascii="宋体" w:hAnsi="宋体" w:cs="宋体"/>
                <w:b w:val="0"/>
                <w:bCs w:val="0"/>
                <w:color w:val="auto"/>
                <w:sz w:val="21"/>
                <w:szCs w:val="21"/>
                <w:highlight w:val="none"/>
                <w:lang w:val="en-US" w:eastAsia="zh-CN"/>
              </w:rPr>
              <w:t xml:space="preserve">提供方案得基本分0.5分，</w:t>
            </w:r>
            <w:r>
              <w:rPr>
                <w:rFonts w:hint="eastAsia" w:ascii="宋体" w:hAnsi="宋体" w:eastAsia="宋体" w:cs="宋体"/>
                <w:b w:val="0"/>
                <w:bCs w:val="0"/>
                <w:color w:val="auto"/>
                <w:sz w:val="21"/>
                <w:szCs w:val="21"/>
                <w:highlight w:val="none"/>
                <w:lang w:val="en-US" w:eastAsia="zh-CN"/>
              </w:rPr>
              <w:t xml:space="preserve">不提供</w:t>
            </w:r>
            <w:r>
              <w:rPr>
                <w:rFonts w:hint="eastAsia" w:ascii="宋体" w:hAnsi="宋体" w:cs="宋体"/>
                <w:b w:val="0"/>
                <w:bCs w:val="0"/>
                <w:color w:val="auto"/>
                <w:sz w:val="21"/>
                <w:szCs w:val="21"/>
                <w:highlight w:val="none"/>
                <w:lang w:val="en-US" w:eastAsia="zh-CN"/>
              </w:rPr>
              <w:t xml:space="preserve">或提供方案明细不符合本项目特点的</w:t>
            </w:r>
            <w:r>
              <w:rPr>
                <w:rFonts w:hint="eastAsia" w:ascii="宋体" w:hAnsi="宋体" w:eastAsia="宋体" w:cs="宋体"/>
                <w:b w:val="0"/>
                <w:bCs w:val="0"/>
                <w:color w:val="auto"/>
                <w:sz w:val="21"/>
                <w:szCs w:val="21"/>
                <w:highlight w:val="none"/>
                <w:lang w:val="en-US" w:eastAsia="zh-CN"/>
              </w:rPr>
              <w:t xml:space="preserve">不得分，本项最高得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tc>
      </w:tr>
      <w:tr>
        <w:trPr>
          <w:jc w:val="center"/>
          <w:trHeight w:val="689"/>
        </w:trPr>
        <w:tc>
          <w:tcPr>
            <w:tcW w:w="752" w:type="dxa"/>
            <w:vAlign w:val="center"/>
            <w:textDirection w:val="lrTb"/>
            <w:noWrap w:val="false"/>
          </w:tcPr>
          <w:p>
            <w:pPr>
              <w:ind w:left="0"/>
              <w:jc w:val="center"/>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售后</w:t>
            </w:r>
            <w:r/>
          </w:p>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tc>
        <w:tc>
          <w:tcPr>
            <w:tcW w:w="821" w:type="dxa"/>
            <w:vAlign w:val="center"/>
            <w:textDirection w:val="lrTb"/>
            <w:noWrap w:val="false"/>
          </w:tcPr>
          <w:p>
            <w:pPr>
              <w:ind w:left="0"/>
              <w:jc w:val="center"/>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p>
        </w:tc>
        <w:tc>
          <w:tcPr>
            <w:tcW w:w="7625"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b/>
                <w:bCs/>
                <w:color w:val="auto"/>
                <w:sz w:val="24"/>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1、投标人承诺在设备免费质保期为三年的基础上（质保期为三年的不得分），每增加半年免费质保期的，得2分，最多得4分。</w:t>
            </w:r>
            <w:r>
              <w:rPr>
                <w:rFonts w:hint="eastAsia" w:ascii="宋体" w:hAnsi="宋体"/>
                <w:b/>
                <w:bCs/>
                <w:color w:val="auto"/>
                <w:sz w:val="24"/>
                <w:szCs w:val="21"/>
                <w:highlight w:val="none"/>
                <w:lang w:val="en-US" w:eastAsia="zh-CN"/>
              </w:rPr>
              <w:t xml:space="preserve">（投标时须提供</w:t>
            </w:r>
            <w:r>
              <w:rPr>
                <w:rFonts w:hint="eastAsia" w:ascii="宋体" w:hAnsi="宋体"/>
                <w:b/>
                <w:bCs/>
                <w:color w:val="auto"/>
                <w:sz w:val="24"/>
                <w:szCs w:val="21"/>
                <w:highlight w:val="none"/>
              </w:rPr>
              <w:t xml:space="preserve">原厂质保承诺书并加盖供应商公章。</w:t>
            </w:r>
            <w:r>
              <w:rPr>
                <w:rFonts w:hint="eastAsia" w:ascii="宋体" w:hAnsi="宋体"/>
                <w:b/>
                <w:bCs/>
                <w:color w:val="auto"/>
                <w:sz w:val="24"/>
                <w:szCs w:val="21"/>
                <w:highlight w:val="none"/>
                <w:lang w:val="en-US" w:eastAsia="zh-CN"/>
              </w:rPr>
              <w:t xml:space="preserve">不提供不得分）</w:t>
            </w:r>
            <w:r/>
          </w:p>
          <w:p>
            <w:pP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评委根据投标文件中的质保期内售后服务（故障解决措施、技术人员保障、备品配件价格等、服务网点、维修网点设置情况以及技术人员安排情况）等服务内容进行横向对比评审：</w:t>
            </w:r>
            <w:r/>
          </w:p>
          <w:p>
            <w:pP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（1）内容科学合理、完整、切实可行的得5分；</w:t>
            </w:r>
            <w:r/>
          </w:p>
          <w:p>
            <w:pP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（2）内容较为详细的，有一定的科学性和可行性的得3分</w:t>
            </w:r>
            <w:r/>
          </w:p>
          <w:p>
            <w:pP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（3）内容不完整、科学性欠合理、可行性欠妥的得1分；</w:t>
            </w:r>
            <w:r/>
          </w:p>
          <w:p>
            <w:pPr>
              <w:numPr>
                <w:ilvl w:val="0"/>
                <w:numId w:val="0"/>
              </w:numPr>
              <w:jc w:val="left"/>
              <w:keepLines w:val="0"/>
              <w:keepNext w:val="0"/>
              <w:pageBreakBefore w:val="0"/>
              <w:spacing w:line="320" w:lineRule="exact"/>
              <w:widowControl w:val="off"/>
              <w:rPr>
                <w:rFonts w:hint="default" w:ascii="宋体" w:hAnsi="宋体" w:eastAsia="宋体" w:cs="宋体"/>
                <w:b/>
                <w:bCs/>
                <w:color w:val="auto"/>
                <w:sz w:val="21"/>
                <w:szCs w:val="21"/>
                <w:highlight w:val="none"/>
                <w:lang w:val="en-US" w:eastAsia="zh-CN"/>
              </w:rPr>
            </w:pPr>
            <w:r>
              <w:rPr>
                <w:rFonts w:ascii="宋体" w:hAnsi="宋体" w:eastAsia="宋体" w:cs="宋体"/>
                <w:color w:val="000000"/>
                <w:highlight w:val="none"/>
              </w:rPr>
              <w:t xml:space="preserve">（4）未提供服务方案的不得分。</w:t>
            </w:r>
            <w:r/>
          </w:p>
        </w:tc>
      </w:tr>
      <w:tr>
        <w:trPr>
          <w:jc w:val="center"/>
          <w:trHeight w:val="1137"/>
        </w:trPr>
        <w:tc>
          <w:tcPr>
            <w:tcW w:w="752"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p>
        </w:tc>
        <w:tc>
          <w:tcPr>
            <w:tcW w:w="1141"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业绩</w:t>
            </w:r>
            <w:r/>
          </w:p>
        </w:tc>
        <w:tc>
          <w:tcPr>
            <w:tcW w:w="821"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7625" w:type="dxa"/>
            <w:vAlign w:val="center"/>
            <w:textDirection w:val="lrTb"/>
            <w:noWrap w:val="false"/>
          </w:tcPr>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bookmarkStart w:id="188" w:name="_GoBack"/>
            <w:r>
              <w:rPr>
                <w:rFonts w:hint="eastAsia" w:ascii="宋体" w:hAnsi="宋体" w:eastAsia="宋体" w:cs="宋体"/>
                <w:b w:val="0"/>
                <w:bCs w:val="0"/>
                <w:color w:val="auto"/>
                <w:sz w:val="21"/>
                <w:szCs w:val="21"/>
                <w:highlight w:val="none"/>
                <w:lang w:val="en-US" w:eastAsia="zh-CN"/>
              </w:rPr>
              <w:t xml:space="preserve">投标人具有所投同类产品“</w:t>
            </w:r>
            <w:r>
              <w:rPr>
                <w:rFonts w:hint="eastAsia" w:ascii="宋体" w:hAnsi="宋体" w:eastAsia="宋体" w:cs="宋体"/>
                <w:b/>
                <w:bCs/>
                <w:i w:val="0"/>
                <w:iCs w:val="0"/>
                <w:color w:val="auto"/>
                <w:sz w:val="24"/>
                <w:szCs w:val="24"/>
                <w:u w:val="none"/>
                <w:lang w:val="en-US" w:eastAsia="zh-CN" w:bidi="ar"/>
              </w:rPr>
              <w:t xml:space="preserve">脉动真空灭菌器</w:t>
            </w:r>
            <w:r>
              <w:rPr>
                <w:rFonts w:hint="eastAsia" w:ascii="宋体" w:hAnsi="宋体" w:eastAsia="宋体" w:cs="宋体"/>
                <w:b w:val="0"/>
                <w:bCs w:val="0"/>
                <w:color w:val="auto"/>
                <w:sz w:val="21"/>
                <w:szCs w:val="21"/>
                <w:highlight w:val="none"/>
                <w:lang w:val="en-US" w:eastAsia="zh-CN"/>
              </w:rPr>
              <w:t xml:space="preserve">”自2022年1月1日以来类似的项目业绩(以合同签订日期为准)，每份得1分，最多得3分。</w:t>
            </w:r>
            <w:r/>
          </w:p>
          <w:p>
            <w:pPr>
              <w:numPr>
                <w:ilvl w:val="0"/>
                <w:numId w:val="0"/>
              </w:numPr>
              <w:jc w:val="left"/>
              <w:keepLines w:val="0"/>
              <w:keepNext w:val="0"/>
              <w:pageBreakBefore w:val="0"/>
              <w:spacing w:line="32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注：业绩需提供合同原件或原件扫描件，所提供资料须内容完整，否则不得分；</w:t>
            </w:r>
            <w:bookmarkEnd w:id="188"/>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8"/>
        <w:jc w:val="center"/>
        <w:spacing w:beforeAutospacing="0" w:afterAutospacing="0"/>
        <w:rPr>
          <w:highlight w:val="none"/>
        </w:rPr>
      </w:pPr>
      <w:r/>
      <w:bookmarkStart w:id="165" w:name="_Toc120614282"/>
      <w:r/>
      <w:bookmarkEnd w:id="165"/>
      <w:r/>
      <w:bookmarkStart w:id="166" w:name="_Toc49090576"/>
      <w:r/>
      <w:bookmarkEnd w:id="166"/>
      <w:r/>
      <w:bookmarkStart w:id="167" w:name="_Hlt26671244"/>
      <w:r/>
      <w:bookmarkStart w:id="168" w:name="_Toc26554094"/>
      <w:r/>
      <w:bookmarkStart w:id="169" w:name="_Hlt26955039"/>
      <w:r>
        <w:rPr>
          <w:rFonts w:hint="eastAsia" w:ascii="宋体" w:hAnsi="宋体" w:eastAsia="宋体" w:cs="宋体"/>
          <w:b/>
          <w:color w:val="000000"/>
          <w:sz w:val="72"/>
          <w:szCs w:val="72"/>
          <w:highlight w:val="none"/>
        </w:rPr>
        <w:t xml:space="preserve">投  标  文  件</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9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98"/>
        <w:jc w:val="center"/>
        <w:spacing w:beforeAutospacing="0" w:afterAutospacing="0" w:line="0" w:lineRule="atLeast"/>
        <w:rPr>
          <w:highlight w:val="none"/>
        </w:rPr>
      </w:pPr>
      <w:r>
        <w:rPr>
          <w:highlight w:val="none"/>
        </w:rPr>
        <w:t xml:space="preserve"> </w:t>
      </w:r>
      <w:r/>
    </w:p>
    <w:p>
      <w:pPr>
        <w:pStyle w:val="89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二、上一年度的财务状况报表（至少提供资产负债表、利润表、现金流量表，投标人成立不满一年无需提供）</w:t>
      </w:r>
      <w:r/>
    </w:p>
    <w:p>
      <w:pPr>
        <w:pStyle w:val="89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9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98"/>
        <w:ind w:left="480"/>
        <w:jc w:val="both"/>
        <w:spacing w:beforeAutospacing="0" w:afterAutospacing="0"/>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六、特定资格要求的证明文件</w:t>
      </w:r>
      <w:r>
        <w:rPr>
          <w:rFonts w:hint="eastAsia" w:ascii="宋体" w:hAnsi="宋体" w:eastAsia="宋体" w:cs="宋体"/>
          <w:i w:val="0"/>
          <w:iCs/>
          <w:color w:val="000000"/>
          <w:highlight w:val="none"/>
          <w:u w:val="none"/>
          <w:lang w:eastAsia="zh-CN"/>
        </w:rPr>
        <w:t xml:space="preserve">：</w:t>
      </w:r>
      <w:r/>
    </w:p>
    <w:p>
      <w:pPr>
        <w:pStyle w:val="898"/>
        <w:ind w:firstLine="480"/>
        <w:jc w:val="both"/>
        <w:spacing w:beforeAutospacing="0" w:afterAutospacing="0" w:line="0" w:lineRule="atLeast"/>
        <w:rPr>
          <w:rFonts w:hint="eastAsia"/>
          <w:iCs/>
        </w:rPr>
      </w:pPr>
      <w:r>
        <w:rPr>
          <w:rFonts w:hint="eastAsia"/>
          <w:iCs/>
        </w:rPr>
        <w:t xml:space="preserve">（如果本项目设置特定资格要求，则需要提供）</w:t>
      </w:r>
      <w:r/>
    </w:p>
    <w:p>
      <w:pPr>
        <w:pStyle w:val="89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9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9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rPr>
        <w:t xml:space="preserve">小微</w:t>
      </w:r>
      <w:r>
        <w:rPr>
          <w:rFonts w:hint="eastAsia" w:ascii="宋体" w:hAnsi="宋体" w:eastAsia="宋体" w:cs="宋体"/>
          <w:i w:val="0"/>
          <w:iCs/>
          <w:color w:val="auto"/>
          <w:highlight w:val="none"/>
          <w:u w:val="none"/>
        </w:rPr>
        <w:t xml:space="preserve">企业声明函</w:t>
      </w:r>
      <w:r>
        <w:rPr>
          <w:rFonts w:hint="eastAsia" w:ascii="宋体" w:hAnsi="宋体" w:eastAsia="宋体" w:cs="宋体"/>
          <w:color w:val="auto"/>
          <w:sz w:val="24"/>
        </w:rPr>
        <w:t xml:space="preserve">（如有）</w:t>
      </w:r>
      <w:r/>
    </w:p>
    <w:p>
      <w:pPr>
        <w:pStyle w:val="898"/>
        <w:ind w:firstLine="480"/>
        <w:jc w:val="both"/>
        <w:spacing w:beforeAutospacing="0" w:afterAutospacing="0" w:line="0" w:lineRule="atLeast"/>
        <w:rPr>
          <w:rFonts w:hint="eastAsia" w:ascii="宋体" w:hAnsi="宋体" w:eastAsia="宋体" w:cs="宋体"/>
          <w:color w:val="auto"/>
          <w:sz w:val="24"/>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color w:val="auto"/>
          <w:sz w:val="24"/>
        </w:rPr>
        <w:t xml:space="preserve">（如有）</w:t>
      </w:r>
      <w:r/>
    </w:p>
    <w:p>
      <w:pPr>
        <w:pStyle w:val="89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十一、联合体协议（如有）</w:t>
      </w:r>
      <w:r/>
    </w:p>
    <w:p>
      <w:pPr>
        <w:pStyle w:val="89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89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9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9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十六、盐城市政府采购事前信用承诺书</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十七、根据招标文件“第五章 定标原则与评标标准”的要求需要提供的材料及投标人认为有必要提供的其他材料</w:t>
      </w:r>
      <w:r/>
    </w:p>
    <w:p>
      <w:pPr>
        <w:ind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eastAsia="宋体" w:cs="宋体"/>
          <w:color w:val="auto"/>
          <w:sz w:val="24"/>
        </w:rPr>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r>
      <w:r/>
    </w:p>
    <w:p>
      <w:pPr>
        <w:pStyle w:val="898"/>
        <w:ind w:firstLine="480"/>
        <w:jc w:val="both"/>
        <w:spacing w:beforeAutospacing="0" w:afterAutospacing="0" w:line="0" w:lineRule="atLeast"/>
        <w:rPr>
          <w:highlight w:val="none"/>
        </w:rPr>
      </w:pPr>
      <w:r>
        <w:rPr>
          <w:highlight w:val="none"/>
        </w:rPr>
        <w:t xml:space="preserve"> </w:t>
      </w:r>
      <w:r/>
    </w:p>
    <w:p>
      <w:pPr>
        <w:pStyle w:val="89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98"/>
        <w:ind w:firstLine="480"/>
        <w:jc w:val="both"/>
        <w:spacing w:beforeAutospacing="0" w:afterAutospacing="0" w:line="0" w:lineRule="atLeast"/>
        <w:rPr>
          <w:highlight w:val="none"/>
        </w:rPr>
      </w:pPr>
      <w:r>
        <w:rPr>
          <w:highlight w:val="none"/>
        </w:rPr>
        <w:t xml:space="preserve"> </w:t>
      </w:r>
      <w:r/>
    </w:p>
    <w:p>
      <w:pPr>
        <w:pStyle w:val="898"/>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13"/>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投标人成立不满一年不需提供。</w:t>
      </w:r>
      <w:r>
        <w:rPr>
          <w:rFonts w:hint="eastAsia"/>
          <w:color w:val="auto"/>
        </w:rPr>
        <w:t xml:space="preserve">）</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9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9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9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9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98"/>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98"/>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98"/>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9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pPr>
      <w:r>
        <w:rPr>
          <w:rFonts w:hint="eastAsia" w:ascii="黑体" w:hAnsi="宋体" w:eastAsia="黑体" w:cs="黑体"/>
          <w:i/>
          <w:color w:val="000000"/>
          <w:sz w:val="32"/>
          <w:szCs w:val="32"/>
          <w:highlight w:val="none"/>
          <w:u w:val="single"/>
        </w:rPr>
        <w:t xml:space="preserve">六、特定资格要求的证明文件</w:t>
      </w:r>
      <w:r>
        <w:rPr>
          <w:rFonts w:hint="eastAsia"/>
          <w:sz w:val="32"/>
          <w:szCs w:val="32"/>
          <w:highlight w:val="none"/>
          <w:u w:val="single"/>
        </w:rPr>
        <w:t xml:space="preserve">（标注页码位置）</w:t>
      </w:r>
      <w:r/>
    </w:p>
    <w:p>
      <w:pPr>
        <w:pStyle w:val="898"/>
        <w:jc w:val="both"/>
        <w:spacing w:beforeAutospacing="0" w:afterAutospacing="0"/>
        <w:rPr>
          <w:highlight w:val="none"/>
        </w:rPr>
      </w:pPr>
      <w:r>
        <w:rPr>
          <w:highlight w:val="none"/>
        </w:rPr>
      </w:r>
      <w:r/>
    </w:p>
    <w:p>
      <w:pPr>
        <w:pStyle w:val="898"/>
        <w:jc w:val="both"/>
        <w:spacing w:beforeAutospacing="0" w:afterAutospacing="0" w:line="0" w:lineRule="atLeast"/>
        <w:rPr>
          <w:highlight w:val="none"/>
        </w:rPr>
      </w:pPr>
      <w:r>
        <w:rPr>
          <w:rFonts w:hint="eastAsia"/>
        </w:rPr>
        <w:t xml:space="preserve"> 如果本项目申请人的特定资格要求中要求提供的，必须提供。</w:t>
      </w:r>
      <w:r/>
    </w:p>
    <w:p>
      <w:pPr>
        <w:pStyle w:val="894"/>
        <w:ind w:left="1260"/>
        <w:rPr>
          <w:rFonts w:hint="eastAsia" w:hAnsi="宋体" w:cs="宋体"/>
        </w:rPr>
      </w:pPr>
      <w:r/>
      <w:bookmarkStart w:id="170" w:name="_Toc120614284"/>
      <w:r/>
      <w:r/>
    </w:p>
    <w:p>
      <w:pPr>
        <w:pStyle w:val="894"/>
        <w:ind w:left="1260"/>
        <w:rPr>
          <w:rFonts w:hint="eastAsia" w:hAnsi="宋体" w:cs="宋体"/>
        </w:rPr>
      </w:pPr>
      <w:r>
        <w:rPr>
          <w:rFonts w:hint="eastAsia" w:hAnsi="宋体" w:cs="宋体"/>
        </w:rPr>
      </w:r>
      <w:r/>
    </w:p>
    <w:p>
      <w:pPr>
        <w:pStyle w:val="894"/>
        <w:ind w:left="1260"/>
        <w:rPr>
          <w:rFonts w:hint="eastAsia" w:hAnsi="宋体" w:cs="宋体"/>
        </w:rPr>
      </w:pPr>
      <w:r>
        <w:rPr>
          <w:rFonts w:hint="eastAsia" w:hAnsi="宋体" w:cs="宋体"/>
        </w:rPr>
      </w:r>
      <w:r/>
    </w:p>
    <w:p>
      <w:pPr>
        <w:pStyle w:val="894"/>
        <w:ind w:left="1260"/>
        <w:rPr>
          <w:rFonts w:hint="eastAsia" w:hAnsi="宋体" w:cs="宋体"/>
        </w:rPr>
      </w:pPr>
      <w:r>
        <w:rPr>
          <w:rFonts w:hint="eastAsia" w:hAnsi="宋体" w:cs="宋体"/>
        </w:rPr>
      </w:r>
      <w:r/>
    </w:p>
    <w:p>
      <w:pPr>
        <w:rPr>
          <w:rFonts w:hint="eastAsia" w:hAnsi="宋体" w:cs="宋体"/>
        </w:rPr>
      </w:pPr>
      <w:r>
        <w:rPr>
          <w:rFonts w:hint="eastAsia" w:hAnsi="宋体" w:cs="宋体"/>
        </w:rPr>
      </w:r>
      <w:r/>
    </w:p>
    <w:p>
      <w:pPr>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94"/>
        <w:ind w:left="1260"/>
        <w:rPr>
          <w:rFonts w:hint="eastAsia" w:hAnsi="宋体" w:cs="宋体"/>
        </w:rPr>
      </w:pPr>
      <w:r>
        <w:rPr>
          <w:rFonts w:hint="eastAsia" w:hAnsi="宋体" w:cs="宋体"/>
        </w:rPr>
      </w:r>
      <w:r/>
    </w:p>
    <w:p>
      <w:pPr>
        <w:pStyle w:val="894"/>
        <w:ind w:left="1260"/>
        <w:rPr>
          <w:rFonts w:hint="eastAsia" w:hAnsi="宋体" w:cs="宋体"/>
        </w:rPr>
      </w:pPr>
      <w:r>
        <w:rPr>
          <w:rFonts w:hint="eastAsia" w:hAnsi="宋体" w:cs="宋体"/>
        </w:rPr>
      </w:r>
      <w:r/>
    </w:p>
    <w:p>
      <w:pPr>
        <w:pStyle w:val="894"/>
        <w:ind w:left="1260"/>
        <w:rPr>
          <w:rFonts w:hAnsi="宋体" w:cs="宋体"/>
        </w:rPr>
      </w:pPr>
      <w:r>
        <w:rPr>
          <w:rFonts w:hint="eastAsia" w:hAnsi="宋体" w:cs="宋体"/>
        </w:rPr>
        <w:t xml:space="preserve">资格性审查响应对照表</w:t>
      </w:r>
      <w:r/>
    </w:p>
    <w:p>
      <w:r>
        <w:rPr>
          <w:rFonts w:hint="eastAsia" w:hAnsi="宋体" w:cs="宋体"/>
        </w:rPr>
        <w:t xml:space="preserve">投标人全称（加盖投标人CA电子公章）</w:t>
      </w:r>
      <w:r/>
    </w:p>
    <w:tbl>
      <w:tblPr>
        <w:tblStyle w:val="90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640"/>
        <w:gridCol w:w="2655"/>
        <w:gridCol w:w="2850"/>
        <w:gridCol w:w="1043"/>
      </w:tblGrid>
      <w:tr>
        <w:trPr/>
        <w:tc>
          <w:tcPr>
            <w:tcW w:w="774" w:type="dxa"/>
            <w:textDirection w:val="lrTb"/>
            <w:noWrap w:val="false"/>
          </w:tcPr>
          <w:p>
            <w:pPr>
              <w:pStyle w:val="898"/>
              <w:jc w:val="both"/>
              <w:spacing w:beforeAutospacing="0" w:afterAutospacing="0" w:line="0" w:lineRule="atLeast"/>
            </w:pPr>
            <w:r>
              <w:rPr>
                <w:rFonts w:hint="eastAsia"/>
              </w:rPr>
              <w:t xml:space="preserve">序号</w:t>
            </w:r>
            <w:r/>
          </w:p>
        </w:tc>
        <w:tc>
          <w:tcPr>
            <w:tcW w:w="2640" w:type="dxa"/>
            <w:textDirection w:val="lrTb"/>
            <w:noWrap w:val="false"/>
          </w:tcPr>
          <w:p>
            <w:pPr>
              <w:pStyle w:val="898"/>
              <w:jc w:val="both"/>
              <w:spacing w:beforeAutospacing="0" w:afterAutospacing="0" w:line="0" w:lineRule="atLeast"/>
            </w:pPr>
            <w:r>
              <w:rPr>
                <w:rFonts w:hint="eastAsia"/>
              </w:rPr>
              <w:t xml:space="preserve">资格性审查响应内容</w:t>
            </w:r>
            <w:r/>
          </w:p>
        </w:tc>
        <w:tc>
          <w:tcPr>
            <w:tcW w:w="2655" w:type="dxa"/>
            <w:textDirection w:val="lrTb"/>
            <w:noWrap w:val="false"/>
          </w:tcPr>
          <w:p>
            <w:pPr>
              <w:pStyle w:val="898"/>
              <w:jc w:val="both"/>
              <w:spacing w:beforeAutospacing="0" w:afterAutospacing="0" w:line="0" w:lineRule="atLeast"/>
            </w:pPr>
            <w:r>
              <w:rPr>
                <w:rFonts w:hint="eastAsia"/>
              </w:rPr>
              <w:t xml:space="preserve">是否响应（填是或否）</w:t>
            </w:r>
            <w:r/>
          </w:p>
        </w:tc>
        <w:tc>
          <w:tcPr>
            <w:tcW w:w="2850" w:type="dxa"/>
            <w:textDirection w:val="lrTb"/>
            <w:noWrap w:val="false"/>
          </w:tcPr>
          <w:p>
            <w:pPr>
              <w:pStyle w:val="898"/>
              <w:jc w:val="both"/>
              <w:spacing w:beforeAutospacing="0" w:afterAutospacing="0" w:line="0" w:lineRule="atLeast"/>
            </w:pPr>
            <w:r>
              <w:rPr>
                <w:rFonts w:hint="eastAsia"/>
                <w:b/>
                <w:bCs/>
              </w:rPr>
              <w:t xml:space="preserve">投标文件中的页码位置</w:t>
            </w:r>
            <w:r/>
          </w:p>
        </w:tc>
        <w:tc>
          <w:tcPr>
            <w:tcW w:w="1043" w:type="dxa"/>
            <w:textDirection w:val="lrTb"/>
            <w:noWrap w:val="false"/>
          </w:tcPr>
          <w:p>
            <w:pPr>
              <w:pStyle w:val="898"/>
              <w:jc w:val="both"/>
              <w:spacing w:beforeAutospacing="0" w:afterAutospacing="0" w:line="0" w:lineRule="atLeast"/>
            </w:pPr>
            <w:r>
              <w:rPr>
                <w:rFonts w:hint="eastAsia"/>
              </w:rPr>
              <w:t xml:space="preserve">备注</w:t>
            </w:r>
            <w:r/>
          </w:p>
        </w:tc>
      </w:tr>
      <w:tr>
        <w:trPr/>
        <w:tc>
          <w:tcPr>
            <w:tcW w:w="774" w:type="dxa"/>
            <w:textDirection w:val="lrTb"/>
            <w:noWrap w:val="false"/>
          </w:tcPr>
          <w:p>
            <w:pPr>
              <w:pStyle w:val="898"/>
              <w:jc w:val="both"/>
              <w:spacing w:beforeAutospacing="0" w:afterAutospacing="0" w:line="0" w:lineRule="atLeast"/>
            </w:pPr>
            <w:r/>
            <w:r/>
          </w:p>
        </w:tc>
        <w:tc>
          <w:tcPr>
            <w:tcW w:w="2640" w:type="dxa"/>
            <w:textDirection w:val="lrTb"/>
            <w:noWrap w:val="false"/>
          </w:tcPr>
          <w:p>
            <w:pPr>
              <w:pStyle w:val="898"/>
              <w:jc w:val="both"/>
              <w:spacing w:beforeAutospacing="0" w:afterAutospacing="0" w:line="0" w:lineRule="atLeast"/>
            </w:pPr>
            <w:r/>
            <w:r/>
          </w:p>
        </w:tc>
        <w:tc>
          <w:tcPr>
            <w:tcW w:w="2655" w:type="dxa"/>
            <w:textDirection w:val="lrTb"/>
            <w:noWrap w:val="false"/>
          </w:tcPr>
          <w:p>
            <w:pPr>
              <w:pStyle w:val="898"/>
              <w:jc w:val="both"/>
              <w:spacing w:beforeAutospacing="0" w:afterAutospacing="0" w:line="0" w:lineRule="atLeast"/>
            </w:pPr>
            <w:r/>
            <w:r/>
          </w:p>
        </w:tc>
        <w:tc>
          <w:tcPr>
            <w:tcW w:w="2850" w:type="dxa"/>
            <w:textDirection w:val="lrTb"/>
            <w:noWrap w:val="false"/>
          </w:tcPr>
          <w:p>
            <w:pPr>
              <w:pStyle w:val="898"/>
              <w:jc w:val="both"/>
              <w:spacing w:beforeAutospacing="0" w:afterAutospacing="0" w:line="0" w:lineRule="atLeast"/>
            </w:pPr>
            <w:r/>
            <w:r/>
          </w:p>
        </w:tc>
        <w:tc>
          <w:tcPr>
            <w:tcW w:w="1043" w:type="dxa"/>
            <w:textDirection w:val="lrTb"/>
            <w:noWrap w:val="false"/>
          </w:tcPr>
          <w:p>
            <w:pPr>
              <w:pStyle w:val="898"/>
              <w:jc w:val="both"/>
              <w:spacing w:beforeAutospacing="0" w:afterAutospacing="0" w:line="0" w:lineRule="atLeast"/>
            </w:pPr>
            <w:r/>
            <w:r/>
          </w:p>
        </w:tc>
      </w:tr>
      <w:tr>
        <w:trPr/>
        <w:tc>
          <w:tcPr>
            <w:tcW w:w="774" w:type="dxa"/>
            <w:textDirection w:val="lrTb"/>
            <w:noWrap w:val="false"/>
          </w:tcPr>
          <w:p>
            <w:pPr>
              <w:pStyle w:val="898"/>
              <w:jc w:val="both"/>
              <w:spacing w:beforeAutospacing="0" w:afterAutospacing="0" w:line="0" w:lineRule="atLeast"/>
            </w:pPr>
            <w:r/>
            <w:r/>
          </w:p>
        </w:tc>
        <w:tc>
          <w:tcPr>
            <w:tcW w:w="2640" w:type="dxa"/>
            <w:textDirection w:val="lrTb"/>
            <w:noWrap w:val="false"/>
          </w:tcPr>
          <w:p>
            <w:pPr>
              <w:pStyle w:val="898"/>
              <w:jc w:val="both"/>
              <w:spacing w:beforeAutospacing="0" w:afterAutospacing="0" w:line="0" w:lineRule="atLeast"/>
            </w:pPr>
            <w:r/>
            <w:r/>
          </w:p>
        </w:tc>
        <w:tc>
          <w:tcPr>
            <w:tcW w:w="2655" w:type="dxa"/>
            <w:textDirection w:val="lrTb"/>
            <w:noWrap w:val="false"/>
          </w:tcPr>
          <w:p>
            <w:pPr>
              <w:pStyle w:val="898"/>
              <w:jc w:val="both"/>
              <w:spacing w:beforeAutospacing="0" w:afterAutospacing="0" w:line="0" w:lineRule="atLeast"/>
            </w:pPr>
            <w:r/>
            <w:r/>
          </w:p>
        </w:tc>
        <w:tc>
          <w:tcPr>
            <w:tcW w:w="2850" w:type="dxa"/>
            <w:textDirection w:val="lrTb"/>
            <w:noWrap w:val="false"/>
          </w:tcPr>
          <w:p>
            <w:pPr>
              <w:pStyle w:val="898"/>
              <w:jc w:val="both"/>
              <w:spacing w:beforeAutospacing="0" w:afterAutospacing="0" w:line="0" w:lineRule="atLeast"/>
            </w:pPr>
            <w:r/>
            <w:r/>
          </w:p>
        </w:tc>
        <w:tc>
          <w:tcPr>
            <w:tcW w:w="1043" w:type="dxa"/>
            <w:textDirection w:val="lrTb"/>
            <w:noWrap w:val="false"/>
          </w:tcPr>
          <w:p>
            <w:pPr>
              <w:pStyle w:val="898"/>
              <w:jc w:val="both"/>
              <w:spacing w:beforeAutospacing="0" w:afterAutospacing="0" w:line="0" w:lineRule="atLeast"/>
            </w:pPr>
            <w:r/>
            <w:r/>
          </w:p>
        </w:tc>
      </w:tr>
      <w:tr>
        <w:trPr/>
        <w:tc>
          <w:tcPr>
            <w:tcW w:w="774" w:type="dxa"/>
            <w:textDirection w:val="lrTb"/>
            <w:noWrap w:val="false"/>
          </w:tcPr>
          <w:p>
            <w:pPr>
              <w:pStyle w:val="898"/>
              <w:jc w:val="both"/>
              <w:spacing w:beforeAutospacing="0" w:afterAutospacing="0" w:line="0" w:lineRule="atLeast"/>
            </w:pPr>
            <w:r/>
            <w:r/>
          </w:p>
        </w:tc>
        <w:tc>
          <w:tcPr>
            <w:tcW w:w="2640" w:type="dxa"/>
            <w:textDirection w:val="lrTb"/>
            <w:noWrap w:val="false"/>
          </w:tcPr>
          <w:p>
            <w:pPr>
              <w:pStyle w:val="898"/>
              <w:jc w:val="both"/>
              <w:spacing w:beforeAutospacing="0" w:afterAutospacing="0" w:line="0" w:lineRule="atLeast"/>
            </w:pPr>
            <w:r/>
            <w:r/>
          </w:p>
        </w:tc>
        <w:tc>
          <w:tcPr>
            <w:tcW w:w="2655" w:type="dxa"/>
            <w:textDirection w:val="lrTb"/>
            <w:noWrap w:val="false"/>
          </w:tcPr>
          <w:p>
            <w:pPr>
              <w:pStyle w:val="898"/>
              <w:jc w:val="both"/>
              <w:spacing w:beforeAutospacing="0" w:afterAutospacing="0" w:line="0" w:lineRule="atLeast"/>
            </w:pPr>
            <w:r/>
            <w:r/>
          </w:p>
        </w:tc>
        <w:tc>
          <w:tcPr>
            <w:tcW w:w="2850" w:type="dxa"/>
            <w:textDirection w:val="lrTb"/>
            <w:noWrap w:val="false"/>
          </w:tcPr>
          <w:p>
            <w:pPr>
              <w:pStyle w:val="898"/>
              <w:jc w:val="both"/>
              <w:spacing w:beforeAutospacing="0" w:afterAutospacing="0" w:line="0" w:lineRule="atLeast"/>
            </w:pPr>
            <w:r/>
            <w:r/>
          </w:p>
        </w:tc>
        <w:tc>
          <w:tcPr>
            <w:tcW w:w="1043" w:type="dxa"/>
            <w:textDirection w:val="lrTb"/>
            <w:noWrap w:val="false"/>
          </w:tcPr>
          <w:p>
            <w:pPr>
              <w:pStyle w:val="898"/>
              <w:jc w:val="both"/>
              <w:spacing w:beforeAutospacing="0" w:afterAutospacing="0" w:line="0" w:lineRule="atLeast"/>
            </w:pPr>
            <w:r/>
            <w:r/>
          </w:p>
        </w:tc>
      </w:tr>
      <w:tr>
        <w:trPr/>
        <w:tc>
          <w:tcPr>
            <w:tcW w:w="774" w:type="dxa"/>
            <w:textDirection w:val="lrTb"/>
            <w:noWrap w:val="false"/>
          </w:tcPr>
          <w:p>
            <w:pPr>
              <w:pStyle w:val="898"/>
              <w:jc w:val="both"/>
              <w:spacing w:beforeAutospacing="0" w:afterAutospacing="0" w:line="0" w:lineRule="atLeast"/>
            </w:pPr>
            <w:r/>
            <w:r/>
          </w:p>
        </w:tc>
        <w:tc>
          <w:tcPr>
            <w:tcW w:w="2640" w:type="dxa"/>
            <w:textDirection w:val="lrTb"/>
            <w:noWrap w:val="false"/>
          </w:tcPr>
          <w:p>
            <w:pPr>
              <w:pStyle w:val="898"/>
              <w:jc w:val="both"/>
              <w:spacing w:beforeAutospacing="0" w:afterAutospacing="0" w:line="0" w:lineRule="atLeast"/>
            </w:pPr>
            <w:r/>
            <w:r/>
          </w:p>
        </w:tc>
        <w:tc>
          <w:tcPr>
            <w:tcW w:w="2655" w:type="dxa"/>
            <w:textDirection w:val="lrTb"/>
            <w:noWrap w:val="false"/>
          </w:tcPr>
          <w:p>
            <w:pPr>
              <w:pStyle w:val="898"/>
              <w:jc w:val="both"/>
              <w:spacing w:beforeAutospacing="0" w:afterAutospacing="0" w:line="0" w:lineRule="atLeast"/>
            </w:pPr>
            <w:r/>
            <w:r/>
          </w:p>
        </w:tc>
        <w:tc>
          <w:tcPr>
            <w:tcW w:w="2850" w:type="dxa"/>
            <w:textDirection w:val="lrTb"/>
            <w:noWrap w:val="false"/>
          </w:tcPr>
          <w:p>
            <w:pPr>
              <w:pStyle w:val="898"/>
              <w:jc w:val="both"/>
              <w:spacing w:beforeAutospacing="0" w:afterAutospacing="0" w:line="0" w:lineRule="atLeast"/>
            </w:pPr>
            <w:r/>
            <w:r/>
          </w:p>
        </w:tc>
        <w:tc>
          <w:tcPr>
            <w:tcW w:w="1043" w:type="dxa"/>
            <w:textDirection w:val="lrTb"/>
            <w:noWrap w:val="false"/>
          </w:tcPr>
          <w:p>
            <w:pPr>
              <w:pStyle w:val="898"/>
              <w:jc w:val="both"/>
              <w:spacing w:beforeAutospacing="0" w:afterAutospacing="0" w:line="0" w:lineRule="atLeast"/>
            </w:pPr>
            <w:r/>
            <w:r/>
          </w:p>
        </w:tc>
      </w:tr>
      <w:tr>
        <w:trPr/>
        <w:tc>
          <w:tcPr>
            <w:tcW w:w="774" w:type="dxa"/>
            <w:textDirection w:val="lrTb"/>
            <w:noWrap w:val="false"/>
          </w:tcPr>
          <w:p>
            <w:pPr>
              <w:pStyle w:val="898"/>
              <w:jc w:val="both"/>
              <w:spacing w:beforeAutospacing="0" w:afterAutospacing="0" w:line="0" w:lineRule="atLeast"/>
            </w:pPr>
            <w:r/>
            <w:r/>
          </w:p>
        </w:tc>
        <w:tc>
          <w:tcPr>
            <w:tcW w:w="2640" w:type="dxa"/>
            <w:textDirection w:val="lrTb"/>
            <w:noWrap w:val="false"/>
          </w:tcPr>
          <w:p>
            <w:pPr>
              <w:pStyle w:val="898"/>
              <w:jc w:val="both"/>
              <w:spacing w:beforeAutospacing="0" w:afterAutospacing="0" w:line="0" w:lineRule="atLeast"/>
            </w:pPr>
            <w:r/>
            <w:r/>
          </w:p>
        </w:tc>
        <w:tc>
          <w:tcPr>
            <w:tcW w:w="2655" w:type="dxa"/>
            <w:textDirection w:val="lrTb"/>
            <w:noWrap w:val="false"/>
          </w:tcPr>
          <w:p>
            <w:pPr>
              <w:pStyle w:val="898"/>
              <w:jc w:val="both"/>
              <w:spacing w:beforeAutospacing="0" w:afterAutospacing="0" w:line="0" w:lineRule="atLeast"/>
            </w:pPr>
            <w:r/>
            <w:r/>
          </w:p>
        </w:tc>
        <w:tc>
          <w:tcPr>
            <w:tcW w:w="2850" w:type="dxa"/>
            <w:textDirection w:val="lrTb"/>
            <w:noWrap w:val="false"/>
          </w:tcPr>
          <w:p>
            <w:pPr>
              <w:pStyle w:val="898"/>
              <w:jc w:val="both"/>
              <w:spacing w:beforeAutospacing="0" w:afterAutospacing="0" w:line="0" w:lineRule="atLeast"/>
            </w:pPr>
            <w:r/>
            <w:r/>
          </w:p>
        </w:tc>
        <w:tc>
          <w:tcPr>
            <w:tcW w:w="1043" w:type="dxa"/>
            <w:textDirection w:val="lrTb"/>
            <w:noWrap w:val="false"/>
          </w:tcPr>
          <w:p>
            <w:pPr>
              <w:pStyle w:val="898"/>
              <w:jc w:val="both"/>
              <w:spacing w:beforeAutospacing="0" w:afterAutospacing="0" w:line="0" w:lineRule="atLeast"/>
            </w:pPr>
            <w:r/>
            <w:r/>
          </w:p>
        </w:tc>
      </w:tr>
    </w:tbl>
    <w:p>
      <w:pPr>
        <w:pStyle w:val="898"/>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8"/>
        <w:jc w:val="left"/>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9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9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9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9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98"/>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9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9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1" w:name="_Hlt26955070"/>
      <w:r/>
      <w:bookmarkStart w:id="172" w:name="_Hlt26671380"/>
      <w:r/>
      <w:bookmarkStart w:id="173" w:name="_格式3__银行出具的资信证明"/>
      <w:r>
        <w:rPr>
          <w:rFonts w:ascii="Times New Roman" w:hAnsi="Times New Roman"/>
          <w:color w:val="000000"/>
          <w:highlight w:val="none"/>
          <w:u w:val="single"/>
        </w:rPr>
        <w:t xml:space="preserve">                                         </w:t>
      </w:r>
      <w:r/>
    </w:p>
    <w:p>
      <w:pPr>
        <w:pStyle w:val="898"/>
        <w:ind w:firstLine="420"/>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98"/>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致：</w:t>
      </w:r>
      <w:r>
        <w:rPr>
          <w:rFonts w:hint="eastAsia" w:ascii="宋体" w:hAnsi="宋体" w:eastAsia="宋体" w:cs="宋体"/>
          <w:u w:val="single"/>
        </w:rPr>
        <w:t xml:space="preserve">盐城市大丰中医院（盐城市大丰区老年医院）</w:t>
      </w:r>
      <w:r/>
    </w:p>
    <w:p>
      <w:pPr>
        <w:pStyle w:val="898"/>
        <w:spacing w:beforeAutospacing="0" w:afterAutospacing="0" w:line="0" w:lineRule="atLeast"/>
        <w:rPr>
          <w:rFonts w:hint="eastAsia" w:ascii="宋体" w:hAnsi="宋体" w:eastAsia="宋体" w:cs="宋体"/>
        </w:rPr>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号招标文件，正式授权___</w:t>
      </w:r>
      <w:r>
        <w:rPr>
          <w:rFonts w:hint="eastAsia" w:ascii="宋体" w:hAnsi="宋体" w:eastAsia="宋体" w:cs="宋体"/>
          <w:u w:val="single"/>
          <w:lang w:val="en-US" w:eastAsia="zh-CN"/>
        </w:rPr>
        <w:t xml:space="preserve">   </w:t>
      </w:r>
      <w:r>
        <w:rPr>
          <w:rFonts w:hint="eastAsia" w:ascii="宋体" w:hAnsi="宋体" w:eastAsia="宋体" w:cs="宋体"/>
        </w:rPr>
        <w:t xml:space="preserve">___(姓名)代表我方______________（投标人的名称），全权处理本次项目投标的有关事宜。</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据此函，签字人兹宣布同意如下：</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8"/>
        <w:ind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8"/>
        <w:ind w:left="425"/>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p>
    <w:p>
      <w:pPr>
        <w:pStyle w:val="898"/>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898"/>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898"/>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898"/>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898"/>
        <w:ind w:left="420" w:firstLine="4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p>
    <w:p>
      <w:pPr>
        <w:pStyle w:val="898"/>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账          号： </w:t>
      </w:r>
      <w:r/>
    </w:p>
    <w:p>
      <w:pPr>
        <w:pStyle w:val="898"/>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日           期：________年____月____日</w:t>
      </w:r>
      <w:r/>
    </w:p>
    <w:p>
      <w:pPr>
        <w:pStyle w:val="898"/>
        <w:ind w:left="420" w:firstLine="480"/>
        <w:jc w:val="center"/>
        <w:spacing w:beforeAutospacing="0" w:afterAutospacing="0" w:line="0" w:lineRule="atLeast"/>
        <w:rPr>
          <w:rFonts w:hint="eastAsia" w:ascii="宋体" w:hAnsi="宋体" w:cs="宋体"/>
          <w:color w:val="auto"/>
          <w:lang w:val="en-US" w:eastAsia="zh-CN"/>
        </w:rPr>
      </w:pPr>
      <w:r>
        <w:rPr>
          <w:rFonts w:hint="eastAsia" w:ascii="宋体" w:hAnsi="宋体" w:cs="宋体"/>
          <w:color w:val="auto"/>
          <w:lang w:val="en-US" w:eastAsia="zh-CN"/>
        </w:rPr>
      </w:r>
      <w:r/>
    </w:p>
    <w:p>
      <w:pPr>
        <w:pStyle w:val="898"/>
        <w:ind w:left="420" w:firstLine="480"/>
        <w:jc w:val="center"/>
        <w:spacing w:beforeAutospacing="0" w:afterAutospacing="0" w:line="0" w:lineRule="atLeast"/>
        <w:rPr>
          <w:rFonts w:hint="eastAsia" w:ascii="宋体" w:hAnsi="宋体" w:cs="宋体"/>
          <w:color w:val="auto"/>
          <w:lang w:val="en-US" w:eastAsia="zh-CN"/>
        </w:rPr>
      </w:pPr>
      <w:r>
        <w:rPr>
          <w:rFonts w:hint="eastAsia" w:ascii="宋体" w:hAnsi="宋体" w:cs="宋体"/>
          <w:color w:val="auto"/>
          <w:lang w:val="en-US" w:eastAsia="zh-CN"/>
        </w:rPr>
      </w:r>
      <w:r/>
    </w:p>
    <w:p>
      <w:pPr>
        <w:pStyle w:val="898"/>
        <w:ind w:left="420" w:firstLine="480"/>
        <w:jc w:val="center"/>
        <w:spacing w:beforeAutospacing="0" w:afterAutospacing="0" w:line="0" w:lineRule="atLeast"/>
        <w:rPr>
          <w:rFonts w:hint="eastAsia" w:ascii="宋体" w:hAnsi="宋体" w:cs="宋体"/>
          <w:color w:val="auto"/>
          <w:lang w:val="en-US" w:eastAsia="zh-CN"/>
        </w:rPr>
      </w:pPr>
      <w:r>
        <w:rPr>
          <w:rFonts w:hint="eastAsia" w:ascii="宋体" w:hAnsi="宋体" w:cs="宋体"/>
          <w:color w:val="auto"/>
          <w:lang w:val="en-US" w:eastAsia="zh-CN"/>
        </w:rPr>
      </w:r>
      <w:r/>
    </w:p>
    <w:p>
      <w:pPr>
        <w:pStyle w:val="898"/>
        <w:ind w:left="420" w:firstLine="480"/>
        <w:jc w:val="center"/>
        <w:spacing w:beforeAutospacing="0" w:afterAutospacing="0" w:line="0" w:lineRule="atLeast"/>
        <w:rPr>
          <w:rFonts w:hint="eastAsia" w:ascii="宋体" w:hAnsi="宋体" w:cs="宋体"/>
          <w:color w:val="auto"/>
          <w:lang w:val="en-US" w:eastAsia="zh-CN"/>
        </w:rPr>
      </w:pPr>
      <w:r>
        <w:rPr>
          <w:rFonts w:hint="eastAsia" w:ascii="宋体" w:hAnsi="宋体" w:cs="宋体"/>
          <w:color w:val="auto"/>
          <w:lang w:val="en-US" w:eastAsia="zh-CN"/>
        </w:rPr>
      </w:r>
      <w:r/>
    </w:p>
    <w:p>
      <w:pPr>
        <w:pStyle w:val="898"/>
        <w:ind w:left="420" w:firstLine="480"/>
        <w:jc w:val="center"/>
        <w:spacing w:beforeAutospacing="0" w:afterAutospacing="0" w:line="0" w:lineRule="atLeast"/>
        <w:rPr>
          <w:rFonts w:hint="default" w:ascii="宋体" w:hAnsi="宋体" w:cs="宋体" w:eastAsiaTheme="minorEastAsia"/>
          <w:color w:val="auto"/>
          <w:lang w:val="en-US" w:eastAsia="zh-CN"/>
        </w:rPr>
      </w:pPr>
      <w:r>
        <w:rPr>
          <w:rFonts w:hint="eastAsia" w:ascii="宋体" w:hAnsi="宋体" w:cs="宋体"/>
          <w:color w:val="auto"/>
          <w:lang w:val="en-US" w:eastAsia="zh-CN"/>
        </w:rPr>
        <w:t xml:space="preserve">签字人签名或盖章：</w:t>
      </w:r>
      <w:r/>
    </w:p>
    <w:p>
      <w:pPr>
        <w:pStyle w:val="898"/>
        <w:ind w:firstLine="240"/>
        <w:jc w:val="center"/>
        <w:spacing w:beforeAutospacing="0" w:afterAutospacing="0" w:line="0" w:lineRule="atLeast"/>
        <w:rPr>
          <w:color w:val="auto"/>
        </w:rPr>
      </w:pPr>
      <w:r>
        <w:rPr>
          <w:color w:val="auto"/>
        </w:rPr>
        <w:t xml:space="preserve"> </w:t>
      </w:r>
      <w:r/>
    </w:p>
    <w:p>
      <w:pPr>
        <w:pStyle w:val="898"/>
        <w:ind w:firstLine="240"/>
        <w:jc w:val="center"/>
        <w:spacing w:beforeAutospacing="0" w:afterAutospacing="0" w:line="0" w:lineRule="atLeast"/>
        <w:rPr>
          <w:color w:val="auto"/>
        </w:rPr>
      </w:pPr>
      <w:r>
        <w:rPr>
          <w:rFonts w:hint="eastAsia" w:ascii="宋体" w:hAnsi="宋体" w:cs="宋体"/>
          <w:color w:val="auto"/>
          <w:lang w:val="en-US" w:eastAsia="zh-CN"/>
        </w:rPr>
        <w:t xml:space="preserve">                </w:t>
      </w:r>
      <w:r>
        <w:rPr>
          <w:rFonts w:hint="eastAsia" w:ascii="宋体" w:hAnsi="宋体" w:cs="宋体"/>
          <w:color w:val="auto"/>
        </w:rPr>
        <w:t xml:space="preserve">供应商全称（加盖CA电子公章）：</w:t>
      </w:r>
      <w:r>
        <w:rPr>
          <w:color w:val="auto"/>
        </w:rPr>
        <w:t xml:space="preserve"> </w:t>
      </w:r>
      <w:r/>
    </w:p>
    <w:p>
      <w:pPr>
        <w:pStyle w:val="898"/>
        <w:ind w:left="420" w:firstLine="48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t xml:space="preserve"> </w:t>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r>
      <w:r/>
    </w:p>
    <w:p>
      <w:pPr>
        <w:pStyle w:val="898"/>
        <w:jc w:val="both"/>
        <w:spacing w:beforeAutospacing="0" w:afterAutospacing="0" w:line="0" w:lineRule="atLeast"/>
        <w:rPr>
          <w:highlight w:val="none"/>
        </w:rPr>
      </w:pPr>
      <w:r>
        <w:rPr>
          <w:highlight w:val="none"/>
        </w:rPr>
      </w:r>
      <w:r/>
    </w:p>
    <w:p>
      <w:pPr>
        <w:pStyle w:val="898"/>
        <w:ind w:firstLine="240"/>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九、小微企业声明函（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98"/>
        <w:ind w:right="720"/>
        <w:jc w:val="both"/>
        <w:spacing w:beforeAutospacing="0" w:afterAutospacing="0" w:line="0" w:lineRule="atLeast"/>
        <w:rPr>
          <w:color w:val="auto"/>
          <w:highlight w:val="none"/>
        </w:rPr>
      </w:pPr>
      <w:r>
        <w:rPr>
          <w:color w:val="auto"/>
          <w:highlight w:val="none"/>
        </w:rPr>
        <w:t xml:space="preserve"> </w:t>
      </w:r>
      <w:r/>
    </w:p>
    <w:p>
      <w:pPr>
        <w:pStyle w:val="89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9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98"/>
        <w:ind w:firstLine="240"/>
        <w:jc w:val="both"/>
        <w:spacing w:beforeAutospacing="0" w:afterAutospacing="0" w:line="0" w:lineRule="atLeast"/>
        <w:rPr>
          <w:color w:val="auto"/>
          <w:highlight w:val="none"/>
        </w:rPr>
      </w:pPr>
      <w:r>
        <w:rPr>
          <w:color w:val="auto"/>
          <w:highlight w:val="none"/>
        </w:rPr>
        <w:t xml:space="preserve"> </w:t>
      </w:r>
      <w:r/>
    </w:p>
    <w:p>
      <w:pPr>
        <w:pStyle w:val="89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9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98"/>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8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8"/>
        <w:ind w:firstLine="480"/>
        <w:jc w:val="both"/>
        <w:spacing w:beforeAutospacing="0" w:afterAutospacing="0" w:line="0" w:lineRule="atLeast"/>
        <w:rPr>
          <w:highlight w:val="none"/>
        </w:rPr>
      </w:pPr>
      <w:r>
        <w:rPr>
          <w:highlight w:val="none"/>
        </w:rPr>
        <w:t xml:space="preserve"> </w:t>
      </w:r>
      <w:r/>
    </w:p>
    <w:p>
      <w:pPr>
        <w:pStyle w:val="8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98"/>
        <w:ind w:firstLine="624"/>
        <w:jc w:val="both"/>
        <w:spacing w:beforeAutospacing="0" w:afterAutospacing="0" w:line="0" w:lineRule="atLeast"/>
        <w:rPr>
          <w:highlight w:val="none"/>
        </w:rPr>
      </w:pPr>
      <w:r>
        <w:rPr>
          <w:highlight w:val="none"/>
        </w:rPr>
        <w:t xml:space="preserve"> </w:t>
      </w:r>
      <w:r/>
    </w:p>
    <w:p>
      <w:pPr>
        <w:pStyle w:val="89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t xml:space="preserve"> </w:t>
      </w:r>
      <w:r/>
    </w:p>
    <w:p>
      <w:pPr>
        <w:pStyle w:val="898"/>
        <w:jc w:val="center"/>
        <w:spacing w:beforeAutospacing="0" w:afterAutospacing="0" w:line="0" w:lineRule="atLeast"/>
        <w:rPr>
          <w:highlight w:val="none"/>
        </w:rPr>
      </w:pPr>
      <w:r>
        <w:rPr>
          <w:highlight w:val="none"/>
        </w:rPr>
      </w:r>
      <w:r/>
    </w:p>
    <w:p>
      <w:pPr>
        <w:pStyle w:val="898"/>
        <w:jc w:val="center"/>
        <w:spacing w:beforeAutospacing="0" w:afterAutospacing="0" w:line="0" w:lineRule="atLeast"/>
        <w:rPr>
          <w:highlight w:val="none"/>
        </w:rPr>
      </w:pPr>
      <w:r>
        <w:rPr>
          <w:highlight w:val="none"/>
        </w:rPr>
        <w:t xml:space="preserve"> </w:t>
      </w:r>
      <w:r/>
    </w:p>
    <w:p>
      <w:pPr>
        <w:pStyle w:val="898"/>
        <w:jc w:val="both"/>
        <w:spacing w:beforeAutospacing="0" w:afterAutospacing="0" w:line="0" w:lineRule="atLeast"/>
        <w:rPr>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highlight w:val="none"/>
        </w:rPr>
        <w:t xml:space="preserve"> </w:t>
      </w:r>
      <w:r/>
    </w:p>
    <w:p>
      <w:pPr>
        <w:pStyle w:val="898"/>
        <w:jc w:val="both"/>
        <w:spacing w:beforeAutospacing="0" w:afterAutospacing="0" w:line="0" w:lineRule="atLeast"/>
        <w:rPr>
          <w:highlight w:val="none"/>
        </w:rPr>
      </w:pPr>
      <w:r>
        <w:rPr>
          <w:highlight w:val="none"/>
        </w:rPr>
      </w:r>
      <w:r/>
    </w:p>
    <w:p>
      <w:pPr>
        <w:pStyle w:val="898"/>
        <w:jc w:val="both"/>
        <w:spacing w:beforeAutospacing="0" w:afterAutospacing="0"/>
        <w:rPr>
          <w:highlight w:val="none"/>
        </w:rPr>
      </w:pPr>
      <w:r>
        <w:rPr>
          <w:highlight w:val="none"/>
        </w:rPr>
        <w:t xml:space="preserve"> </w:t>
      </w:r>
      <w:r/>
    </w:p>
    <w:p>
      <w:pPr>
        <w:pStyle w:val="898"/>
        <w:numPr>
          <w:ilvl w:val="0"/>
          <w:numId w:val="3"/>
        </w:numPr>
        <w:jc w:val="center"/>
        <w:spacing w:beforeAutospacing="0" w:afterAutospacing="0"/>
        <w:rPr>
          <w:rFonts w:hint="eastAsia"/>
          <w:b/>
          <w:sz w:val="32"/>
          <w:szCs w:val="32"/>
          <w:u w:val="single"/>
        </w:rPr>
      </w:pPr>
      <w:r>
        <w:rPr>
          <w:rFonts w:hint="eastAsia"/>
          <w:b/>
          <w:sz w:val="32"/>
          <w:szCs w:val="32"/>
          <w:u w:val="single"/>
        </w:rPr>
        <w:t xml:space="preserve">联合体协议（参考格式）</w:t>
      </w:r>
      <w:r/>
    </w:p>
    <w:p>
      <w:pPr>
        <w:pStyle w:val="898"/>
        <w:numPr>
          <w:ilvl w:val="0"/>
          <w:numId w:val="0"/>
        </w:numPr>
        <w:jc w:val="both"/>
        <w:spacing w:beforeAutospacing="0" w:afterAutospacing="0"/>
        <w:rPr>
          <w:rFonts w:hint="eastAsia"/>
          <w:b/>
          <w:sz w:val="32"/>
          <w:szCs w:val="32"/>
          <w:u w:val="single"/>
          <w:lang w:val="en-US" w:eastAsia="zh-CN"/>
        </w:rPr>
      </w:pPr>
      <w:r>
        <w:rPr>
          <w:rFonts w:hint="eastAsia"/>
        </w:rPr>
        <w:t xml:space="preserve">本项目不接受联合体投标。</w:t>
      </w:r>
      <w:r/>
    </w:p>
    <w:p>
      <w:pPr>
        <w:pStyle w:val="898"/>
        <w:numPr>
          <w:ilvl w:val="0"/>
          <w:numId w:val="0"/>
        </w:num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numPr>
          <w:ilvl w:val="0"/>
          <w:numId w:val="0"/>
        </w:num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投标分项报价表</w:t>
      </w:r>
      <w:r/>
    </w:p>
    <w:p>
      <w:pPr>
        <w:jc w:val="right"/>
        <w:spacing w:line="400" w:lineRule="exact"/>
        <w:rPr>
          <w:rFonts w:hint="eastAsia" w:ascii="黑体" w:hAnsi="宋体" w:eastAsia="黑体" w:cs="黑体"/>
          <w:b/>
          <w:color w:val="000000"/>
          <w:sz w:val="32"/>
          <w:szCs w:val="32"/>
          <w:highlight w:val="none"/>
        </w:rPr>
      </w:pPr>
      <w:r>
        <w:rPr>
          <w:rFonts w:hint="eastAsia" w:ascii="宋体" w:hAnsi="宋体" w:cs="Angsana New"/>
          <w:sz w:val="24"/>
          <w:lang w:bidi="th-TH"/>
        </w:rPr>
        <w:t xml:space="preserve">单位：元</w:t>
      </w:r>
      <w:r/>
    </w:p>
    <w:tbl>
      <w:tblPr>
        <w:tblStyle w:val="890"/>
        <w:tblW w:w="487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02"/>
        <w:gridCol w:w="1907"/>
        <w:gridCol w:w="926"/>
        <w:gridCol w:w="658"/>
        <w:gridCol w:w="1186"/>
        <w:gridCol w:w="1261"/>
        <w:gridCol w:w="1167"/>
        <w:gridCol w:w="1086"/>
        <w:gridCol w:w="917"/>
      </w:tblGrid>
      <w:tr>
        <w:trPr>
          <w:jc w:val="center"/>
          <w:trHeight w:val="941"/>
        </w:trPr>
        <w:tc>
          <w:tcPr>
            <w:tcW w:w="502" w:type="dxa"/>
            <w:vAlign w:val="center"/>
            <w:textDirection w:val="lrTb"/>
            <w:noWrap w:val="false"/>
          </w:tcPr>
          <w:p>
            <w:pPr>
              <w:jc w:val="center"/>
              <w:rPr>
                <w:rFonts w:ascii="宋体" w:cs="宋体"/>
                <w:b w:val="0"/>
                <w:bCs w:val="0"/>
                <w:sz w:val="24"/>
                <w:szCs w:val="24"/>
              </w:rPr>
            </w:pPr>
            <w:r>
              <w:rPr>
                <w:rFonts w:hint="eastAsia" w:ascii="宋体" w:hAnsi="宋体" w:cs="宋体"/>
                <w:b w:val="0"/>
                <w:bCs w:val="0"/>
                <w:sz w:val="24"/>
                <w:szCs w:val="24"/>
              </w:rPr>
              <w:t xml:space="preserve">序号</w:t>
            </w:r>
            <w:r/>
          </w:p>
        </w:tc>
        <w:tc>
          <w:tcPr>
            <w:tcW w:w="1907" w:type="dxa"/>
            <w:vAlign w:val="center"/>
            <w:textDirection w:val="lrTb"/>
            <w:noWrap w:val="false"/>
          </w:tcPr>
          <w:p>
            <w:pPr>
              <w:jc w:val="center"/>
              <w:rPr>
                <w:rFonts w:ascii="宋体" w:cs="宋体"/>
                <w:b w:val="0"/>
                <w:bCs w:val="0"/>
                <w:sz w:val="24"/>
                <w:szCs w:val="24"/>
              </w:rPr>
            </w:pPr>
            <w:r>
              <w:rPr>
                <w:rFonts w:hint="eastAsia" w:ascii="宋体" w:hAnsi="宋体" w:cs="宋体"/>
                <w:b w:val="0"/>
                <w:bCs w:val="0"/>
                <w:sz w:val="24"/>
                <w:szCs w:val="24"/>
              </w:rPr>
              <w:t xml:space="preserve">设备名称</w:t>
            </w:r>
            <w:r/>
          </w:p>
        </w:tc>
        <w:tc>
          <w:tcPr>
            <w:tcW w:w="926" w:type="dxa"/>
            <w:vAlign w:val="center"/>
            <w:textDirection w:val="lrTb"/>
            <w:noWrap w:val="false"/>
          </w:tcPr>
          <w:p>
            <w:pPr>
              <w:jc w:val="center"/>
              <w:rPr>
                <w:rFonts w:hint="eastAsia" w:ascii="宋体" w:cs="宋体" w:eastAsiaTheme="minorEastAsia"/>
                <w:b w:val="0"/>
                <w:bCs w:val="0"/>
                <w:sz w:val="24"/>
                <w:szCs w:val="24"/>
                <w:lang w:eastAsia="zh-CN"/>
              </w:rPr>
            </w:pPr>
            <w:r>
              <w:rPr>
                <w:rFonts w:hint="eastAsia" w:ascii="宋体" w:hAnsi="宋体" w:cs="宋体"/>
                <w:b w:val="0"/>
                <w:bCs w:val="0"/>
                <w:color w:val="auto"/>
                <w:sz w:val="24"/>
                <w:szCs w:val="24"/>
              </w:rPr>
              <w:t xml:space="preserve">技术要求</w:t>
            </w:r>
            <w:r/>
          </w:p>
        </w:tc>
        <w:tc>
          <w:tcPr>
            <w:shd w:val="clear" w:color="auto" w:fill="auto"/>
            <w:tcW w:w="658" w:type="dxa"/>
            <w:vAlign w:val="center"/>
            <w:textDirection w:val="lrTb"/>
            <w:noWrap w:val="false"/>
          </w:tcPr>
          <w:p>
            <w:pPr>
              <w:jc w:val="center"/>
              <w:rPr>
                <w:rFonts w:hint="eastAsia" w:ascii="宋体" w:cs="宋体" w:hAnsiTheme="minorHAnsi" w:eastAsiaTheme="minorEastAsia"/>
                <w:b w:val="0"/>
                <w:bCs w:val="0"/>
                <w:sz w:val="24"/>
                <w:szCs w:val="24"/>
                <w:lang w:val="en-US" w:eastAsia="zh-CN" w:bidi="ar-SA"/>
              </w:rPr>
            </w:pPr>
            <w:r>
              <w:rPr>
                <w:rFonts w:hint="eastAsia" w:ascii="宋体" w:hAnsi="宋体" w:cs="宋体"/>
                <w:b w:val="0"/>
                <w:bCs w:val="0"/>
                <w:sz w:val="24"/>
                <w:szCs w:val="24"/>
              </w:rPr>
              <w:t xml:space="preserve">数量</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台</w:t>
            </w:r>
            <w:r>
              <w:rPr>
                <w:rFonts w:hint="eastAsia" w:ascii="宋体" w:hAnsi="宋体" w:cs="宋体"/>
                <w:b w:val="0"/>
                <w:bCs w:val="0"/>
                <w:sz w:val="24"/>
                <w:szCs w:val="24"/>
                <w:lang w:eastAsia="zh-CN"/>
              </w:rPr>
              <w:t xml:space="preserve">）</w:t>
            </w:r>
            <w:r/>
          </w:p>
        </w:tc>
        <w:tc>
          <w:tcPr>
            <w:tcW w:w="1186" w:type="dxa"/>
            <w:vAlign w:val="center"/>
            <w:textDirection w:val="lrTb"/>
            <w:noWrap w:val="false"/>
          </w:tcPr>
          <w:p>
            <w:pPr>
              <w:jc w:val="center"/>
              <w:rPr>
                <w:rFonts w:hint="default" w:eastAsiaTheme="minorEastAsia"/>
                <w:lang w:val="en-US" w:eastAsia="zh-CN"/>
              </w:rPr>
            </w:pPr>
            <w:r>
              <w:rPr>
                <w:rFonts w:hint="eastAsia"/>
                <w:lang w:val="en-US" w:eastAsia="zh-CN"/>
              </w:rPr>
              <w:t xml:space="preserve">招标控制单价</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元/台</w:t>
            </w:r>
            <w:r>
              <w:rPr>
                <w:rFonts w:hint="eastAsia" w:ascii="宋体" w:hAnsi="宋体" w:cs="宋体"/>
                <w:b w:val="0"/>
                <w:bCs w:val="0"/>
                <w:sz w:val="24"/>
                <w:szCs w:val="24"/>
                <w:lang w:eastAsia="zh-CN"/>
              </w:rPr>
              <w:t xml:space="preserve">）</w:t>
            </w:r>
            <w:r/>
          </w:p>
        </w:tc>
        <w:tc>
          <w:tcPr>
            <w:tcW w:w="1261" w:type="dxa"/>
            <w:vAlign w:val="center"/>
            <w:textDirection w:val="lrTb"/>
            <w:noWrap w:val="false"/>
          </w:tcPr>
          <w:p>
            <w:pPr>
              <w:jc w:val="center"/>
              <w:rPr>
                <w:rFonts w:hint="eastAsia" w:ascii="宋体" w:cs="宋体" w:eastAsiaTheme="minorEastAsia"/>
                <w:b w:val="0"/>
                <w:bCs w:val="0"/>
                <w:sz w:val="24"/>
                <w:szCs w:val="24"/>
                <w:lang w:eastAsia="zh-CN"/>
              </w:rPr>
            </w:pPr>
            <w:r>
              <w:rPr>
                <w:rFonts w:hint="eastAsia" w:ascii="宋体" w:hAnsi="宋体" w:cs="宋体"/>
                <w:b w:val="0"/>
                <w:bCs w:val="0"/>
                <w:sz w:val="24"/>
                <w:szCs w:val="24"/>
                <w:lang w:val="en-US" w:eastAsia="zh-CN"/>
              </w:rPr>
              <w:t xml:space="preserve">投标综合</w:t>
            </w:r>
            <w:r>
              <w:rPr>
                <w:rFonts w:hint="eastAsia" w:ascii="宋体" w:hAnsi="宋体" w:cs="宋体"/>
                <w:b w:val="0"/>
                <w:bCs w:val="0"/>
                <w:sz w:val="24"/>
                <w:szCs w:val="24"/>
              </w:rPr>
              <w:t xml:space="preserve">单价</w:t>
            </w:r>
            <w:r>
              <w:rPr>
                <w:rFonts w:hint="eastAsia" w:ascii="宋体" w:hAnsi="宋体" w:cs="宋体"/>
                <w:b w:val="0"/>
                <w:bCs w:val="0"/>
                <w:sz w:val="24"/>
                <w:szCs w:val="24"/>
                <w:lang w:val="en-US" w:eastAsia="zh-CN"/>
              </w:rPr>
              <w:t xml:space="preserve">   </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元/台</w:t>
            </w:r>
            <w:r>
              <w:rPr>
                <w:rFonts w:hint="eastAsia" w:ascii="宋体" w:hAnsi="宋体" w:cs="宋体"/>
                <w:b w:val="0"/>
                <w:bCs w:val="0"/>
                <w:sz w:val="24"/>
                <w:szCs w:val="24"/>
                <w:lang w:eastAsia="zh-CN"/>
              </w:rPr>
              <w:t xml:space="preserve">）</w:t>
            </w:r>
            <w:r/>
          </w:p>
        </w:tc>
        <w:tc>
          <w:tcPr>
            <w:tcW w:w="1167" w:type="dxa"/>
            <w:vAlign w:val="center"/>
            <w:textDirection w:val="lrTb"/>
            <w:noWrap w:val="false"/>
          </w:tcPr>
          <w:p>
            <w:pPr>
              <w:jc w:val="center"/>
              <w:rPr>
                <w:rFonts w:hint="eastAsia" w:ascii="宋体" w:cs="宋体" w:eastAsiaTheme="minorEastAsia"/>
                <w:b w:val="0"/>
                <w:bCs w:val="0"/>
                <w:sz w:val="24"/>
                <w:szCs w:val="24"/>
                <w:lang w:eastAsia="zh-CN"/>
              </w:rPr>
            </w:pPr>
            <w:r>
              <w:rPr>
                <w:rFonts w:hint="eastAsia" w:ascii="宋体" w:hAnsi="宋体" w:cs="宋体"/>
                <w:b w:val="0"/>
                <w:bCs w:val="0"/>
                <w:sz w:val="24"/>
                <w:szCs w:val="24"/>
                <w:lang w:val="en-US" w:eastAsia="zh-CN"/>
              </w:rPr>
              <w:t xml:space="preserve">投标</w:t>
            </w:r>
            <w:r>
              <w:rPr>
                <w:rFonts w:hint="eastAsia" w:ascii="宋体" w:hAnsi="宋体" w:cs="宋体"/>
                <w:b w:val="0"/>
                <w:bCs w:val="0"/>
                <w:sz w:val="24"/>
                <w:szCs w:val="24"/>
              </w:rPr>
              <w:t xml:space="preserve">合价</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元</w:t>
            </w:r>
            <w:r>
              <w:rPr>
                <w:rFonts w:hint="eastAsia" w:ascii="宋体" w:hAnsi="宋体" w:cs="宋体"/>
                <w:b w:val="0"/>
                <w:bCs w:val="0"/>
                <w:sz w:val="24"/>
                <w:szCs w:val="24"/>
                <w:lang w:eastAsia="zh-CN"/>
              </w:rPr>
              <w:t xml:space="preserve">）</w:t>
            </w:r>
            <w:r/>
          </w:p>
        </w:tc>
        <w:tc>
          <w:tcPr>
            <w:tcW w:w="1086" w:type="dxa"/>
            <w:vAlign w:val="center"/>
            <w:textDirection w:val="lrTb"/>
            <w:noWrap w:val="false"/>
          </w:tcPr>
          <w:p>
            <w:pPr>
              <w:jc w:val="center"/>
              <w:rPr>
                <w:rFonts w:ascii="宋体" w:cs="宋体"/>
                <w:b w:val="0"/>
                <w:bCs w:val="0"/>
                <w:sz w:val="24"/>
                <w:szCs w:val="24"/>
              </w:rPr>
            </w:pPr>
            <w:r>
              <w:rPr>
                <w:rFonts w:hint="eastAsia" w:ascii="宋体" w:hAnsi="宋体" w:cs="宋体"/>
                <w:b w:val="0"/>
                <w:bCs w:val="0"/>
                <w:sz w:val="24"/>
                <w:szCs w:val="24"/>
              </w:rPr>
              <w:t xml:space="preserve">投标品牌</w:t>
            </w:r>
            <w:r>
              <w:rPr>
                <w:rFonts w:hint="eastAsia" w:ascii="宋体" w:hAnsi="宋体" w:cs="宋体"/>
                <w:b w:val="0"/>
                <w:bCs w:val="0"/>
                <w:color w:val="auto"/>
                <w:sz w:val="24"/>
                <w:szCs w:val="24"/>
              </w:rPr>
              <w:t xml:space="preserve">投标人投标品牌及型号</w:t>
            </w:r>
            <w:r/>
          </w:p>
          <w:p>
            <w:pPr>
              <w:jc w:val="center"/>
              <w:rPr>
                <w:rFonts w:ascii="宋体" w:cs="宋体"/>
                <w:b w:val="0"/>
                <w:bCs w:val="0"/>
                <w:sz w:val="24"/>
                <w:szCs w:val="24"/>
              </w:rPr>
            </w:pPr>
            <w:r>
              <w:rPr>
                <w:rFonts w:ascii="宋体" w:cs="宋体"/>
                <w:b w:val="0"/>
                <w:bCs w:val="0"/>
                <w:sz w:val="24"/>
                <w:szCs w:val="24"/>
              </w:rPr>
            </w:r>
            <w:r/>
          </w:p>
        </w:tc>
        <w:tc>
          <w:tcPr>
            <w:tcW w:w="917" w:type="dxa"/>
            <w:vAlign w:val="center"/>
            <w:textDirection w:val="lrTb"/>
            <w:noWrap w:val="false"/>
          </w:tcPr>
          <w:p>
            <w:pPr>
              <w:jc w:val="center"/>
              <w:rPr>
                <w:rFonts w:hint="eastAsia" w:ascii="宋体" w:hAnsi="宋体" w:cs="宋体" w:eastAsiaTheme="minorEastAsia"/>
                <w:b w:val="0"/>
                <w:bCs w:val="0"/>
                <w:sz w:val="24"/>
                <w:szCs w:val="24"/>
                <w:lang w:val="en-US" w:eastAsia="zh-CN"/>
              </w:rPr>
            </w:pPr>
            <w:r>
              <w:rPr>
                <w:rFonts w:hint="eastAsia" w:ascii="宋体" w:hAnsi="宋体" w:cs="宋体"/>
                <w:b w:val="0"/>
                <w:bCs w:val="0"/>
                <w:sz w:val="24"/>
                <w:szCs w:val="24"/>
                <w:lang w:val="en-US" w:eastAsia="zh-CN"/>
              </w:rPr>
              <w:t xml:space="preserve">备注</w:t>
            </w:r>
            <w:r/>
          </w:p>
        </w:tc>
      </w:tr>
      <w:tr>
        <w:trPr>
          <w:jc w:val="center"/>
          <w:trHeight w:val="422"/>
        </w:trPr>
        <w:tc>
          <w:tcPr>
            <w:tcW w:w="502"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w:t>
            </w:r>
            <w:r/>
          </w:p>
        </w:tc>
        <w:tc>
          <w:tcPr>
            <w:tcW w:w="1907"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脉动真空灭菌器</w:t>
            </w:r>
            <w:r/>
          </w:p>
        </w:tc>
        <w:tc>
          <w:tcPr>
            <w:tcW w:w="926" w:type="dxa"/>
            <w:vAlign w:val="center"/>
            <w:vMerge w:val="restart"/>
            <w:textDirection w:val="lrTb"/>
            <w:noWrap w:val="false"/>
          </w:tcPr>
          <w:p>
            <w:pPr>
              <w:jc w:val="center"/>
              <w:rPr>
                <w:rFonts w:hint="eastAsia" w:ascii="宋体" w:hAnsi="宋体" w:eastAsia="宋体" w:cs="宋体"/>
                <w:sz w:val="18"/>
                <w:szCs w:val="18"/>
                <w:lang w:val="en-US" w:eastAsia="zh-CN" w:bidi="th-TH"/>
              </w:rPr>
            </w:pPr>
            <w:r>
              <w:rPr>
                <w:rFonts w:hint="eastAsia" w:ascii="宋体" w:hAnsi="宋体" w:cs="宋体"/>
                <w:b w:val="0"/>
                <w:bCs w:val="0"/>
                <w:sz w:val="24"/>
                <w:szCs w:val="24"/>
                <w:lang w:val="en-US" w:eastAsia="zh-CN"/>
              </w:rPr>
              <w:t xml:space="preserve">详见“第四章 采购需求”</w:t>
            </w:r>
            <w:r/>
          </w:p>
        </w:tc>
        <w:tc>
          <w:tcPr>
            <w:shd w:val="clear" w:color="auto" w:fill="auto"/>
            <w:tcW w:w="658"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w:t>
            </w:r>
            <w:r/>
          </w:p>
        </w:tc>
        <w:tc>
          <w:tcPr>
            <w:tcW w:w="1186" w:type="dxa"/>
            <w:vAlign w:val="center"/>
            <w:textDirection w:val="lrTb"/>
            <w:noWrap w:val="false"/>
          </w:tcPr>
          <w:p>
            <w:pPr>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315000.00</w:t>
            </w:r>
            <w:r/>
          </w:p>
        </w:tc>
        <w:tc>
          <w:tcPr>
            <w:tcW w:w="1261"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1167"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1086"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917"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r>
      <w:tr>
        <w:trPr>
          <w:jc w:val="center"/>
          <w:trHeight w:val="428"/>
        </w:trPr>
        <w:tc>
          <w:tcPr>
            <w:tcW w:w="502"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w:t>
            </w:r>
            <w:r/>
          </w:p>
        </w:tc>
        <w:tc>
          <w:tcPr>
            <w:tcW w:w="1907"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减压沸腾清洗机</w:t>
            </w:r>
            <w:r/>
          </w:p>
        </w:tc>
        <w:tc>
          <w:tcPr>
            <w:tcW w:w="926" w:type="dxa"/>
            <w:vAlign w:val="center"/>
            <w:vMerge w:val="continue"/>
            <w:textDirection w:val="lrTb"/>
            <w:noWrap w:val="false"/>
          </w:tcPr>
          <w:p>
            <w:pPr>
              <w:jc w:val="center"/>
              <w:spacing w:line="400" w:lineRule="exact"/>
              <w:rPr>
                <w:rFonts w:hint="eastAsia" w:ascii="宋体" w:hAnsi="宋体" w:eastAsia="宋体" w:cs="宋体"/>
                <w:sz w:val="18"/>
                <w:szCs w:val="18"/>
                <w:lang w:val="en-US" w:eastAsia="zh-CN" w:bidi="th-TH"/>
              </w:rPr>
            </w:pPr>
            <w:r>
              <w:rPr>
                <w:rFonts w:hint="eastAsia" w:ascii="宋体" w:hAnsi="宋体" w:eastAsia="宋体" w:cs="宋体"/>
                <w:sz w:val="18"/>
                <w:szCs w:val="18"/>
                <w:lang w:val="en-US" w:eastAsia="zh-CN" w:bidi="th-TH"/>
              </w:rPr>
            </w:r>
            <w:r/>
          </w:p>
        </w:tc>
        <w:tc>
          <w:tcPr>
            <w:shd w:val="clear" w:color="auto" w:fill="auto"/>
            <w:tcW w:w="658" w:type="dxa"/>
            <w:vAlign w:val="center"/>
            <w:textDirection w:val="lrTb"/>
            <w:noWrap w:val="false"/>
          </w:tcPr>
          <w:p>
            <w:pPr>
              <w:jc w:val="cente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w:t>
            </w:r>
            <w:r/>
          </w:p>
        </w:tc>
        <w:tc>
          <w:tcPr>
            <w:tcW w:w="1186" w:type="dxa"/>
            <w:vAlign w:val="center"/>
            <w:textDirection w:val="lrTb"/>
            <w:noWrap w:val="false"/>
          </w:tcPr>
          <w:p>
            <w:pPr>
              <w:jc w:val="center"/>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245000.00</w:t>
            </w:r>
            <w:r/>
          </w:p>
        </w:tc>
        <w:tc>
          <w:tcPr>
            <w:tcW w:w="1261"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1167"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1086"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c>
          <w:tcPr>
            <w:tcW w:w="917" w:type="dxa"/>
            <w:vAlign w:val="center"/>
            <w:textDirection w:val="lrTb"/>
            <w:noWrap w:val="false"/>
          </w:tcPr>
          <w:p>
            <w:pPr>
              <w:jc w:val="center"/>
              <w:spacing w:line="400" w:lineRule="exact"/>
              <w:rPr>
                <w:rFonts w:hint="eastAsia" w:ascii="宋体" w:hAnsi="宋体" w:eastAsia="宋体" w:cs="宋体"/>
                <w:sz w:val="18"/>
                <w:szCs w:val="18"/>
                <w:lang w:bidi="th-TH"/>
              </w:rPr>
            </w:pPr>
            <w:r>
              <w:rPr>
                <w:rFonts w:hint="eastAsia" w:ascii="宋体" w:hAnsi="宋体" w:eastAsia="宋体" w:cs="宋体"/>
                <w:sz w:val="18"/>
                <w:szCs w:val="18"/>
                <w:lang w:bidi="th-TH"/>
              </w:rPr>
            </w:r>
            <w:r/>
          </w:p>
        </w:tc>
      </w:tr>
      <w:tr>
        <w:trPr>
          <w:jc w:val="center"/>
          <w:trHeight w:val="461"/>
        </w:trPr>
        <w:tc>
          <w:tcPr>
            <w:gridSpan w:val="3"/>
            <w:tcW w:w="3335" w:type="dxa"/>
            <w:vAlign w:val="center"/>
            <w:textDirection w:val="lrTb"/>
            <w:noWrap w:val="false"/>
          </w:tcPr>
          <w:p>
            <w:pPr>
              <w:jc w:val="center"/>
              <w:spacing w:line="400" w:lineRule="exact"/>
              <w:rPr>
                <w:rFonts w:ascii="宋体" w:cs="宋体"/>
                <w:sz w:val="24"/>
                <w:lang w:bidi="th-TH"/>
              </w:rPr>
            </w:pPr>
            <w:r>
              <w:rPr>
                <w:rFonts w:hint="eastAsia" w:ascii="宋体" w:hAnsi="宋体" w:cs="宋体"/>
                <w:b/>
                <w:bCs/>
                <w:sz w:val="24"/>
                <w:lang w:val="en-US" w:eastAsia="zh-CN" w:bidi="th-TH"/>
              </w:rPr>
              <w:t xml:space="preserve">总  价（元）</w:t>
            </w:r>
            <w:r/>
          </w:p>
        </w:tc>
        <w:tc>
          <w:tcPr>
            <w:gridSpan w:val="6"/>
            <w:tcW w:w="6275" w:type="dxa"/>
            <w:vAlign w:val="center"/>
            <w:textDirection w:val="lrTb"/>
            <w:noWrap w:val="false"/>
          </w:tcPr>
          <w:p>
            <w:pPr>
              <w:jc w:val="left"/>
              <w:spacing w:line="400" w:lineRule="exact"/>
              <w:rPr>
                <w:rFonts w:ascii="宋体" w:cs="宋体"/>
                <w:sz w:val="24"/>
                <w:lang w:bidi="th-TH"/>
              </w:rPr>
            </w:pPr>
            <w:r>
              <w:rPr>
                <w:rFonts w:hint="eastAsia" w:ascii="宋体" w:hAnsi="宋体" w:cs="宋体"/>
                <w:b/>
                <w:bCs/>
                <w:sz w:val="24"/>
                <w:lang w:val="en-US" w:eastAsia="zh-CN" w:bidi="th-TH"/>
              </w:rPr>
              <w:t xml:space="preserve">大写: 人民币                 （小写¥：              ）</w:t>
            </w:r>
            <w:r/>
          </w:p>
        </w:tc>
      </w:tr>
    </w:tbl>
    <w:p>
      <w:pPr>
        <w:pStyle w:val="89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898"/>
        <w:jc w:val="both"/>
        <w:spacing w:beforeAutospacing="0" w:afterAutospacing="0"/>
        <w:rPr>
          <w:highlight w:val="none"/>
          <w:shd w:val="clear" w:color="auto" w:fill="auto"/>
        </w:rPr>
      </w:pPr>
      <w:r>
        <w:rPr>
          <w:highlight w:val="none"/>
          <w:shd w:val="clear" w:color="auto" w:fill="auto"/>
        </w:rPr>
      </w:r>
      <w:r/>
    </w:p>
    <w:p>
      <w:pPr>
        <w:pStyle w:val="898"/>
        <w:jc w:val="both"/>
        <w:spacing w:beforeAutospacing="0" w:afterAutospacing="0"/>
        <w:rPr>
          <w:highlight w:val="none"/>
          <w:shd w:val="clear" w:color="auto" w:fill="auto"/>
        </w:rPr>
      </w:pPr>
      <w:r>
        <w:rPr>
          <w:highlight w:val="none"/>
          <w:shd w:val="clear" w:color="auto" w:fill="auto"/>
        </w:rPr>
        <w:t xml:space="preserve"> </w:t>
      </w:r>
      <w:r>
        <w:rPr>
          <w:rFonts w:hint="eastAsia"/>
          <w:b/>
        </w:rPr>
        <w:t xml:space="preserve">投标人全称（加盖CA电子公章）</w:t>
      </w:r>
      <w:r>
        <w:rPr>
          <w:rFonts w:hint="eastAsia"/>
          <w:b/>
          <w:sz w:val="32"/>
          <w:szCs w:val="32"/>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98"/>
        <w:jc w:val="both"/>
        <w:spacing w:beforeAutospacing="0" w:afterAutospacing="0"/>
        <w:rPr>
          <w:highlight w:val="none"/>
        </w:rPr>
      </w:pPr>
      <w:r>
        <w:rPr>
          <w:highlight w:val="none"/>
        </w:rPr>
      </w:r>
      <w:r/>
    </w:p>
    <w:p>
      <w:pPr>
        <w:pStyle w:val="898"/>
        <w:numPr>
          <w:ilvl w:val="0"/>
          <w:numId w:val="0"/>
        </w:numPr>
        <w:ind w:left="0" w:firstLine="0"/>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 xml:space="preserve">十三、</w:t>
      </w:r>
      <w:r>
        <w:rPr>
          <w:rFonts w:hint="eastAsia" w:ascii="黑体" w:hAnsi="宋体" w:eastAsia="黑体" w:cs="黑体"/>
          <w:b/>
          <w:color w:val="000000"/>
          <w:sz w:val="32"/>
          <w:szCs w:val="32"/>
          <w:highlight w:val="none"/>
        </w:rPr>
        <w:t xml:space="preserve">技术要求响应及偏离表</w:t>
      </w:r>
      <w:r/>
    </w:p>
    <w:p>
      <w:pPr>
        <w:pStyle w:val="898"/>
        <w:jc w:val="both"/>
        <w:spacing w:beforeAutospacing="0" w:afterAutospacing="0"/>
        <w:rPr>
          <w:rFonts w:hint="eastAsia" w:ascii="黑体" w:hAnsi="宋体" w:eastAsia="黑体" w:cs="黑体"/>
          <w:b/>
          <w:color w:val="000000"/>
          <w:sz w:val="32"/>
          <w:szCs w:val="32"/>
          <w:highlight w:val="none"/>
        </w:rPr>
      </w:pPr>
      <w:r>
        <w:rPr>
          <w:rFonts w:hint="eastAsia"/>
          <w:b/>
        </w:rPr>
        <w:t xml:space="preserve">投标人全称（加盖投标人CA电子公章）</w:t>
      </w:r>
      <w:r/>
    </w:p>
    <w:tbl>
      <w:tblPr>
        <w:tblStyle w:val="890"/>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9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8"/>
              <w:jc w:val="center"/>
              <w:spacing w:beforeAutospacing="0" w:afterAutospacing="0"/>
              <w:rPr>
                <w:highlight w:val="none"/>
              </w:rPr>
            </w:pPr>
            <w:r>
              <w:rPr>
                <w:highlight w:val="none"/>
              </w:rPr>
              <w:t xml:space="preserve"> </w:t>
            </w:r>
            <w:r/>
          </w:p>
        </w:tc>
      </w:tr>
    </w:tbl>
    <w:p>
      <w:pPr>
        <w:pStyle w:val="89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t xml:space="preserve"> </w:t>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r>
      <w:r/>
    </w:p>
    <w:p>
      <w:pPr>
        <w:pStyle w:val="898"/>
        <w:jc w:val="both"/>
        <w:spacing w:beforeAutospacing="0" w:afterAutospacing="0"/>
        <w:rPr>
          <w:highlight w:val="none"/>
        </w:rPr>
      </w:pPr>
      <w:r>
        <w:rPr>
          <w:highlight w:val="none"/>
        </w:rPr>
        <w:t xml:space="preserve"> </w:t>
      </w:r>
      <w:r/>
    </w:p>
    <w:p>
      <w:pPr>
        <w:pStyle w:val="898"/>
        <w:numPr>
          <w:ilvl w:val="0"/>
          <w:numId w:val="0"/>
        </w:numPr>
        <w:ind w:left="0" w:firstLine="0"/>
        <w:jc w:val="center"/>
        <w:spacing w:beforeAutospacing="0" w:afterAutospacing="0"/>
        <w:rPr>
          <w:rFonts w:hint="eastAsia" w:ascii="黑体" w:hAnsi="宋体" w:eastAsia="黑体" w:cs="黑体"/>
          <w:b/>
          <w:color w:val="000000"/>
          <w:sz w:val="32"/>
          <w:szCs w:val="32"/>
          <w:highlight w:val="none"/>
        </w:rPr>
      </w:pPr>
      <w:r/>
      <w:bookmarkStart w:id="174" w:name="_Hlt26955054"/>
      <w:r>
        <w:rPr>
          <w:rFonts w:hint="eastAsia" w:ascii="黑体" w:hAnsi="宋体" w:eastAsia="黑体" w:cs="黑体"/>
          <w:b/>
          <w:color w:val="000000"/>
          <w:sz w:val="32"/>
          <w:szCs w:val="32"/>
          <w:lang w:val="en-US" w:eastAsia="zh-CN" w:bidi="ar-SA"/>
        </w:rPr>
        <w:t xml:space="preserve">十四、</w:t>
      </w:r>
      <w:r>
        <w:rPr>
          <w:rFonts w:hint="eastAsia" w:ascii="黑体" w:hAnsi="宋体" w:eastAsia="黑体" w:cs="黑体"/>
          <w:b/>
          <w:color w:val="000000"/>
          <w:sz w:val="32"/>
          <w:szCs w:val="32"/>
          <w:highlight w:val="none"/>
        </w:rPr>
        <w:t xml:space="preserve">商务要求响应及偏离表</w:t>
      </w:r>
      <w:r/>
    </w:p>
    <w:p>
      <w:pPr>
        <w:pStyle w:val="898"/>
        <w:spacing w:beforeAutospacing="0" w:afterAutospacing="0"/>
        <w:rPr>
          <w:b/>
          <w:u w:val="single"/>
        </w:rPr>
      </w:pPr>
      <w:r>
        <w:rPr>
          <w:rFonts w:hint="eastAsia"/>
          <w:b/>
          <w:u w:val="single"/>
        </w:rPr>
        <w:t xml:space="preserve">投标人全称（加盖投标人CA电子公章）</w:t>
      </w:r>
      <w:r/>
    </w:p>
    <w:tbl>
      <w:tblPr>
        <w:tblStyle w:val="890"/>
        <w:tblpPr w:horzAnchor="page" w:tblpX="1495" w:vertAnchor="text" w:tblpY="331" w:leftFromText="180" w:topFromText="0" w:rightFromText="180" w:bottomFromText="0"/>
        <w:tblW w:w="915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596"/>
        <w:gridCol w:w="138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bookmarkStart w:id="175" w:name="_Hlt26955064"/>
            <w:r/>
            <w:bookmarkStart w:id="176" w:name="_Hlt26580838"/>
            <w:r/>
            <w:bookmarkStart w:id="177" w:name="_Hlt26609391"/>
            <w:r/>
            <w:bookmarkStart w:id="178" w:name="_Hlt26671372"/>
            <w:r/>
            <w:bookmarkStart w:id="179" w:name="_Hlt24879081"/>
            <w:r/>
            <w:bookmarkStart w:id="180" w:name="_Hlt26955056"/>
            <w:r/>
            <w:bookmarkStart w:id="181" w:name="_Hlt26782999"/>
            <w:r/>
            <w:bookmarkStart w:id="182" w:name="_Hlt26671343"/>
            <w:r>
              <w:rPr>
                <w:rFonts w:hint="eastAsia" w:ascii="宋体" w:hAnsi="宋体" w:eastAsia="宋体" w:cs="宋体"/>
                <w:color w:val="000000"/>
                <w:highlight w:val="none"/>
              </w:rPr>
              <w:t xml:space="preserve">序号</w:t>
            </w:r>
            <w:bookmarkEnd w:id="175"/>
            <w:r/>
            <w:bookmarkEnd w:id="176"/>
            <w:r/>
            <w:bookmarkEnd w:id="177"/>
            <w:r/>
            <w:bookmarkEnd w:id="178"/>
            <w:r/>
            <w:bookmarkEnd w:id="179"/>
            <w:r/>
            <w:bookmarkEnd w:id="180"/>
            <w:r/>
            <w:bookmarkEnd w:id="181"/>
            <w:r/>
            <w:bookmarkEnd w:id="18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9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9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8"/>
              <w:jc w:val="center"/>
              <w:spacing w:beforeAutospacing="0" w:afterAutospacing="0"/>
              <w:rPr>
                <w:highlight w:val="none"/>
              </w:rPr>
            </w:pPr>
            <w:r>
              <w:rPr>
                <w:highlight w:val="none"/>
              </w:rPr>
              <w:t xml:space="preserve"> </w:t>
            </w:r>
            <w:r/>
          </w:p>
        </w:tc>
      </w:tr>
    </w:tbl>
    <w:p>
      <w:pPr>
        <w:pStyle w:val="898"/>
        <w:numPr>
          <w:ilvl w:val="0"/>
          <w:numId w:val="0"/>
        </w:numPr>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98"/>
        <w:jc w:val="both"/>
        <w:spacing w:beforeAutospacing="0" w:afterAutospacing="0" w:line="480" w:lineRule="auto"/>
        <w:rPr>
          <w:highlight w:val="none"/>
        </w:rPr>
      </w:pPr>
      <w:r>
        <w:rPr>
          <w:highlight w:val="none"/>
        </w:rPr>
        <w:t xml:space="preserve"> </w:t>
      </w:r>
      <w:r/>
    </w:p>
    <w:p>
      <w:pPr>
        <w:pStyle w:val="898"/>
        <w:jc w:val="both"/>
        <w:spacing w:beforeAutospacing="0" w:afterAutospacing="0" w:line="480" w:lineRule="auto"/>
        <w:rPr>
          <w:highlight w:val="none"/>
        </w:rPr>
      </w:pPr>
      <w:r>
        <w:rPr>
          <w:highlight w:val="none"/>
        </w:rPr>
        <w:t xml:space="preserve"> </w:t>
      </w:r>
      <w:r/>
    </w:p>
    <w:p>
      <w:pPr>
        <w:pStyle w:val="898"/>
        <w:jc w:val="center"/>
        <w:spacing w:beforeAutospacing="0" w:afterAutospacing="0"/>
        <w:rPr>
          <w:highlight w:val="none"/>
        </w:rPr>
      </w:pPr>
      <w:r/>
      <w:bookmarkStart w:id="183" w:name="_Hlt26609389"/>
      <w:r/>
      <w:bookmarkStart w:id="184" w:name="_Hlt26955066"/>
      <w:r/>
      <w:bookmarkStart w:id="185" w:name="_Toc462564146"/>
      <w:r/>
      <w:bookmarkStart w:id="186" w:name="_格式2__法定代表人授权书"/>
      <w:r/>
      <w:bookmarkStart w:id="187" w:name="_Hlt26671374"/>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r>
      <w:r/>
    </w:p>
    <w:p>
      <w:pPr>
        <w:pStyle w:val="898"/>
        <w:jc w:val="center"/>
        <w:spacing w:beforeAutospacing="0" w:afterAutospacing="0"/>
        <w:rPr>
          <w:highlight w:val="none"/>
        </w:rPr>
      </w:pPr>
      <w:r>
        <w:rPr>
          <w:highlight w:val="none"/>
        </w:rPr>
        <w:t xml:space="preserve"> </w:t>
      </w:r>
      <w:r/>
    </w:p>
    <w:p>
      <w:pPr>
        <w:pStyle w:val="898"/>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r/>
    </w:p>
    <w:p>
      <w:pPr>
        <w:pStyle w:val="898"/>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98"/>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9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tbl>
      <w:tblPr>
        <w:tblStyle w:val="890"/>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98"/>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98"/>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9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898"/>
        <w:jc w:val="both"/>
        <w:spacing w:beforeAutospacing="0" w:afterAutospacing="0"/>
        <w:rPr>
          <w:highlight w:val="none"/>
        </w:rPr>
      </w:pPr>
      <w:r>
        <w:rPr>
          <w:highlight w:val="none"/>
        </w:rPr>
        <w:t xml:space="preserve"> </w:t>
      </w:r>
      <w:r/>
    </w:p>
    <w:p>
      <w:pPr>
        <w:pStyle w:val="898"/>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98"/>
        <w:ind w:firstLine="480"/>
        <w:jc w:val="both"/>
        <w:spacing w:beforeAutospacing="0" w:afterAutospacing="0"/>
        <w:rPr>
          <w:highlight w:val="none"/>
        </w:rPr>
      </w:pPr>
      <w:r>
        <w:rPr>
          <w:highlight w:val="none"/>
        </w:rPr>
        <w:t xml:space="preserve"> </w:t>
      </w:r>
      <w:r/>
    </w:p>
    <w:p>
      <w:pPr>
        <w:pStyle w:val="898"/>
        <w:ind w:firstLine="480"/>
        <w:jc w:val="both"/>
        <w:spacing w:beforeAutospacing="0" w:afterAutospacing="0"/>
        <w:rPr>
          <w:highlight w:val="none"/>
        </w:rPr>
      </w:pPr>
      <w:r>
        <w:rPr>
          <w:highlight w:val="none"/>
        </w:rPr>
        <w:t xml:space="preserve"> </w:t>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4"/>
        </w:numPr>
        <w:ind w:firstLine="442"/>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盐城市政府采购事前信用承诺书</w:t>
      </w:r>
      <w:r/>
    </w:p>
    <w:p>
      <w:pPr>
        <w:numPr>
          <w:ilvl w:val="0"/>
          <w:numId w:val="0"/>
        </w:numPr>
        <w:ind w:firstLine="480"/>
        <w:jc w:val="both"/>
        <w:rPr>
          <w:color w:val="auto"/>
          <w:sz w:val="24"/>
          <w:szCs w:val="24"/>
        </w:rPr>
      </w:pPr>
      <w:r>
        <w:rPr>
          <w:rFonts w:hint="eastAsia"/>
          <w:color w:val="auto"/>
          <w:sz w:val="24"/>
          <w:szCs w:val="24"/>
        </w:rPr>
        <w:t xml:space="preserve">为营造我区公开、公平、公正、诚实守信的政府采购交易环境，树立诚信守法的供应商形象，本人代表本单位作出以下承诺：</w:t>
      </w:r>
      <w:r/>
    </w:p>
    <w:p>
      <w:pPr>
        <w:ind w:firstLine="480"/>
        <w:jc w:val="left"/>
        <w:spacing w:line="500" w:lineRule="exact"/>
        <w:widowControl/>
        <w:rPr>
          <w:color w:val="auto"/>
          <w:sz w:val="24"/>
          <w:szCs w:val="24"/>
        </w:rPr>
      </w:pPr>
      <w:r>
        <w:rPr>
          <w:rFonts w:hint="eastAsia"/>
          <w:color w:val="auto"/>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color w:val="auto"/>
          <w:sz w:val="24"/>
          <w:szCs w:val="24"/>
        </w:rPr>
      </w:pPr>
      <w:r>
        <w:rPr>
          <w:rFonts w:hint="eastAsia"/>
          <w:color w:val="auto"/>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color w:val="auto"/>
          <w:sz w:val="24"/>
          <w:szCs w:val="24"/>
        </w:rPr>
      </w:pPr>
      <w:r>
        <w:rPr>
          <w:rFonts w:hint="eastAsia"/>
          <w:color w:val="auto"/>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color w:val="auto"/>
          <w:sz w:val="24"/>
          <w:szCs w:val="24"/>
        </w:rPr>
      </w:pPr>
      <w:r>
        <w:rPr>
          <w:rFonts w:hint="eastAsia"/>
          <w:color w:val="auto"/>
          <w:sz w:val="24"/>
          <w:szCs w:val="24"/>
        </w:rPr>
        <w:t xml:space="preserve">（四）严格遵守即时信息公示规定，及时维护和更新维护和更新盐城市政府采购网中与本单位相关的信息；</w:t>
      </w:r>
      <w:r/>
    </w:p>
    <w:p>
      <w:pPr>
        <w:ind w:firstLine="480"/>
        <w:jc w:val="left"/>
        <w:spacing w:line="500" w:lineRule="exact"/>
        <w:widowControl/>
        <w:rPr>
          <w:color w:val="auto"/>
          <w:sz w:val="24"/>
          <w:szCs w:val="24"/>
        </w:rPr>
      </w:pPr>
      <w:r>
        <w:rPr>
          <w:rFonts w:hint="eastAsia"/>
          <w:color w:val="auto"/>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color w:val="auto"/>
          <w:sz w:val="24"/>
          <w:szCs w:val="24"/>
        </w:rPr>
      </w:pPr>
      <w:r>
        <w:rPr>
          <w:rFonts w:hint="eastAsia"/>
          <w:color w:val="auto"/>
          <w:sz w:val="24"/>
          <w:szCs w:val="24"/>
        </w:rPr>
        <w:t xml:space="preserve"> （六）自觉接受政府、行业组织、社会公众、新闻舆论的监督；</w:t>
      </w:r>
      <w:r/>
    </w:p>
    <w:p>
      <w:pPr>
        <w:ind w:firstLine="480"/>
        <w:jc w:val="left"/>
        <w:spacing w:line="500" w:lineRule="exact"/>
        <w:widowControl/>
        <w:rPr>
          <w:color w:val="auto"/>
          <w:sz w:val="24"/>
          <w:szCs w:val="24"/>
        </w:rPr>
      </w:pPr>
      <w:r>
        <w:rPr>
          <w:rFonts w:hint="eastAsia"/>
          <w:color w:val="auto"/>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widowControl/>
        <w:rPr>
          <w:color w:val="auto"/>
          <w:sz w:val="24"/>
        </w:rPr>
      </w:pPr>
      <w:r>
        <w:rPr>
          <w:rFonts w:hint="eastAsia"/>
          <w:color w:val="auto"/>
          <w:sz w:val="24"/>
          <w:szCs w:val="24"/>
        </w:rPr>
        <w:t xml:space="preserve"> （八）本人已认真阅读了上述承诺，并向本单位员工作了宣传教育。</w:t>
      </w:r>
      <w:r/>
    </w:p>
    <w:p>
      <w:pPr>
        <w:ind w:firstLine="480"/>
        <w:spacing w:line="500" w:lineRule="exact"/>
        <w:widowControl/>
        <w:rPr>
          <w:color w:val="auto"/>
          <w:sz w:val="24"/>
        </w:rPr>
      </w:pPr>
      <w:r>
        <w:rPr>
          <w:color w:val="auto"/>
          <w:sz w:val="24"/>
        </w:rPr>
      </w:r>
      <w:r/>
    </w:p>
    <w:p>
      <w:pPr>
        <w:ind w:firstLine="480"/>
        <w:jc w:val="right"/>
        <w:spacing w:line="500" w:lineRule="exact"/>
        <w:widowControl/>
        <w:rPr>
          <w:color w:val="auto"/>
          <w:sz w:val="24"/>
        </w:rPr>
      </w:pPr>
      <w:r>
        <w:rPr>
          <w:rFonts w:hint="eastAsia"/>
          <w:color w:val="auto"/>
          <w:sz w:val="24"/>
        </w:rPr>
        <w:t xml:space="preserve">   法定代表人（签名）：          </w:t>
      </w:r>
      <w:r/>
    </w:p>
    <w:p>
      <w:pPr>
        <w:ind w:firstLine="480"/>
        <w:jc w:val="right"/>
        <w:spacing w:line="500" w:lineRule="exact"/>
        <w:widowControl/>
        <w:rPr>
          <w:color w:val="auto"/>
          <w:sz w:val="24"/>
        </w:rPr>
      </w:pPr>
      <w:r>
        <w:rPr>
          <w:rFonts w:hint="eastAsia"/>
          <w:color w:val="auto"/>
          <w:sz w:val="24"/>
        </w:rPr>
        <w:t xml:space="preserve">单位名称（盖章）：          </w:t>
      </w:r>
      <w:r/>
    </w:p>
    <w:p>
      <w:pPr>
        <w:ind w:firstLine="480"/>
        <w:jc w:val="right"/>
        <w:spacing w:line="500" w:lineRule="exact"/>
        <w:widowControl/>
        <w:rPr>
          <w:rFonts w:hint="eastAsia"/>
          <w:color w:val="auto"/>
          <w:sz w:val="24"/>
        </w:rPr>
      </w:pPr>
      <w:r>
        <w:rPr>
          <w:rFonts w:hint="eastAsia"/>
          <w:color w:val="auto"/>
          <w:sz w:val="24"/>
        </w:rPr>
        <w:t xml:space="preserve">年   月   日</w:t>
      </w:r>
      <w:r/>
    </w:p>
    <w:p>
      <w:pPr>
        <w:ind w:firstLine="480"/>
        <w:jc w:val="right"/>
        <w:spacing w:line="500" w:lineRule="exact"/>
        <w:widowControl/>
        <w:rPr>
          <w:rFonts w:hint="eastAsia"/>
          <w:color w:val="auto"/>
          <w:sz w:val="24"/>
        </w:rPr>
      </w:pPr>
      <w:r>
        <w:rPr>
          <w:rFonts w:hint="eastAsia"/>
          <w:color w:val="auto"/>
          <w:sz w:val="24"/>
        </w:rPr>
      </w:r>
      <w:r/>
    </w:p>
    <w:p>
      <w:pPr>
        <w:pStyle w:val="898"/>
        <w:ind w:firstLine="480"/>
        <w:jc w:val="both"/>
        <w:spacing w:beforeAutospacing="0" w:afterAutospacing="0"/>
        <w:rPr>
          <w:highlight w:val="none"/>
        </w:rPr>
      </w:pPr>
      <w:r>
        <w:rPr>
          <w:highlight w:val="none"/>
        </w:rPr>
      </w:r>
      <w:r/>
    </w:p>
    <w:p>
      <w:pPr>
        <w:numPr>
          <w:ilvl w:val="0"/>
          <w:numId w:val="5"/>
        </w:numPr>
        <w:ind w:left="469" w:firstLine="0"/>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根据招标文件“第五章 定标原则与评标标准”的要求需要提供的材料及投标人认为有必要提供的其他材料</w:t>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pStyle w:val="893"/>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numPr>
          <w:ilvl w:val="0"/>
          <w:numId w:val="0"/>
        </w:numPr>
        <w:jc w:val="center"/>
        <w:spacing w:before="50" w:after="50"/>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bookmarkEnd w:id="0"/>
      <w:r/>
      <w:bookmarkEnd w:id="43"/>
      <w:r/>
      <w:bookmarkEnd w:id="90"/>
      <w:r/>
      <w:bookmarkEnd w:id="91"/>
      <w:r/>
      <w:bookmarkEnd w:id="92"/>
      <w:r/>
      <w:bookmarkEnd w:id="93"/>
      <w:r/>
      <w:bookmarkEnd w:id="94"/>
      <w:r/>
      <w:bookmarkEnd w:id="95"/>
      <w:r/>
      <w:bookmarkEnd w:id="96"/>
      <w:r/>
      <w:bookmarkEnd w:id="97"/>
      <w:r/>
      <w:bookmarkEnd w:id="106"/>
      <w:r/>
      <w:bookmarkEnd w:id="107"/>
      <w:r/>
      <w:bookmarkEnd w:id="114"/>
      <w:r/>
      <w:bookmarkEnd w:id="161"/>
      <w:r/>
      <w:bookmarkEnd w:id="164"/>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pStyle w:val="898"/>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8"/>
        <w:jc w:val="both"/>
        <w:spacing w:before="290"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一、质疑供应商基本信息</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二、质疑项目基本情况</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三、质疑事项具体内容</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pStyle w:val="898"/>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质疑事项2</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四、与质疑事项相关的质疑请求</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签字(签章)：                 公章：               日期：    </w:t>
      </w:r>
      <w:r/>
    </w:p>
    <w:p>
      <w:pPr>
        <w:pStyle w:val="898"/>
        <w:jc w:val="both"/>
        <w:spacing w:beforeAutospacing="0" w:afterAutospacing="0" w:line="240" w:lineRule="auto"/>
        <w:rPr>
          <w:rFonts w:ascii="宋体" w:hAnsi="宋体" w:eastAsia="宋体" w:cs="宋体"/>
          <w:sz w:val="21"/>
          <w:szCs w:val="21"/>
          <w:highlight w:val="none"/>
        </w:rPr>
      </w:pPr>
      <w:r>
        <w:rPr>
          <w:rFonts w:hint="eastAsia" w:ascii="宋体" w:hAnsi="宋体" w:eastAsia="宋体" w:cs="宋体"/>
          <w:b/>
          <w:color w:val="000000"/>
          <w:sz w:val="21"/>
          <w:szCs w:val="21"/>
          <w:highlight w:val="none"/>
        </w:rPr>
        <w:t xml:space="preserve">质疑函制作说明：</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pStyle w:val="898"/>
        <w:ind w:firstLine="480"/>
        <w:spacing w:beforeAutospacing="0" w:afterAutospacing="0" w:line="240" w:lineRule="auto"/>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98"/>
        <w:spacing w:beforeAutospacing="0" w:afterAutospacing="0" w:line="240" w:lineRule="auto"/>
        <w:rPr>
          <w:sz w:val="21"/>
          <w:szCs w:val="21"/>
          <w:highlight w:val="none"/>
        </w:rPr>
      </w:pPr>
      <w:r>
        <w:rPr>
          <w:sz w:val="21"/>
          <w:szCs w:val="21"/>
          <w:highlight w:val="none"/>
        </w:rPr>
      </w:r>
      <w:r/>
    </w:p>
    <w:sectPr>
      <w:footerReference w:type="default" r:id="rId11"/>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jc w:val="center"/>
                          </w:pPr>
                          <w:r>
                            <w:fldChar w:fldCharType="begin"/>
                          </w:r>
                          <w:r>
                            <w:instrText xml:space="preserve">PAGE   \* MERGEFORMAT</w:instrText>
                          </w:r>
                          <w:r>
                            <w:fldChar w:fldCharType="separate"/>
                          </w:r>
                          <w:r>
                            <w:rPr>
                              <w:lang w:val="zh-CN"/>
                            </w:rP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jc w:val="center"/>
                    </w:pPr>
                    <w:r>
                      <w:fldChar w:fldCharType="begin"/>
                    </w:r>
                    <w:r>
                      <w:instrText xml:space="preserve">PAGE   \* MERGEFORMAT</w:instrText>
                    </w:r>
                    <w:r>
                      <w:fldChar w:fldCharType="separate"/>
                    </w:r>
                    <w:r>
                      <w:rPr>
                        <w:lang w:val="zh-CN"/>
                      </w:rPr>
                      <w:t xml:space="preserve">46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chineseCounting"/>
      <w:isLgl w:val="false"/>
      <w:suff w:val="nothing"/>
      <w:lvlText w:val="%1、"/>
      <w:lvlJc w:val="left"/>
      <w:pPr>
        <w:ind w:left="46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9"/>
    <w:link w:val="886"/>
    <w:uiPriority w:val="9"/>
    <w:rPr>
      <w:rFonts w:ascii="Arial" w:hAnsi="Arial" w:eastAsia="Arial" w:cs="Arial"/>
      <w:sz w:val="40"/>
      <w:szCs w:val="40"/>
    </w:rPr>
  </w:style>
  <w:style w:type="character" w:styleId="715">
    <w:name w:val="Heading 2 Char"/>
    <w:basedOn w:val="889"/>
    <w:link w:val="887"/>
    <w:uiPriority w:val="9"/>
    <w:rPr>
      <w:rFonts w:ascii="Arial" w:hAnsi="Arial" w:eastAsia="Arial" w:cs="Arial"/>
      <w:sz w:val="34"/>
    </w:rPr>
  </w:style>
  <w:style w:type="character" w:styleId="716">
    <w:name w:val="Heading 3 Char"/>
    <w:basedOn w:val="889"/>
    <w:link w:val="888"/>
    <w:uiPriority w:val="9"/>
    <w:rPr>
      <w:rFonts w:ascii="Arial" w:hAnsi="Arial" w:eastAsia="Arial" w:cs="Arial"/>
      <w:sz w:val="30"/>
      <w:szCs w:val="30"/>
    </w:rPr>
  </w:style>
  <w:style w:type="paragraph" w:styleId="717">
    <w:name w:val="Heading 4"/>
    <w:basedOn w:val="885"/>
    <w:next w:val="885"/>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9"/>
    <w:link w:val="717"/>
    <w:uiPriority w:val="9"/>
    <w:rPr>
      <w:rFonts w:ascii="Arial" w:hAnsi="Arial" w:eastAsia="Arial" w:cs="Arial"/>
      <w:b/>
      <w:bCs/>
      <w:sz w:val="26"/>
      <w:szCs w:val="26"/>
    </w:rPr>
  </w:style>
  <w:style w:type="paragraph" w:styleId="719">
    <w:name w:val="Heading 5"/>
    <w:basedOn w:val="885"/>
    <w:next w:val="885"/>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9"/>
    <w:link w:val="719"/>
    <w:uiPriority w:val="9"/>
    <w:rPr>
      <w:rFonts w:ascii="Arial" w:hAnsi="Arial" w:eastAsia="Arial" w:cs="Arial"/>
      <w:b/>
      <w:bCs/>
      <w:sz w:val="24"/>
      <w:szCs w:val="24"/>
    </w:rPr>
  </w:style>
  <w:style w:type="paragraph" w:styleId="721">
    <w:name w:val="Heading 6"/>
    <w:basedOn w:val="885"/>
    <w:next w:val="885"/>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9"/>
    <w:link w:val="721"/>
    <w:uiPriority w:val="9"/>
    <w:rPr>
      <w:rFonts w:ascii="Arial" w:hAnsi="Arial" w:eastAsia="Arial" w:cs="Arial"/>
      <w:b/>
      <w:bCs/>
      <w:sz w:val="22"/>
      <w:szCs w:val="22"/>
    </w:rPr>
  </w:style>
  <w:style w:type="paragraph" w:styleId="723">
    <w:name w:val="Heading 7"/>
    <w:basedOn w:val="885"/>
    <w:next w:val="885"/>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9"/>
    <w:link w:val="723"/>
    <w:uiPriority w:val="9"/>
    <w:rPr>
      <w:rFonts w:ascii="Arial" w:hAnsi="Arial" w:eastAsia="Arial" w:cs="Arial"/>
      <w:b/>
      <w:bCs/>
      <w:i/>
      <w:iCs/>
      <w:sz w:val="22"/>
      <w:szCs w:val="22"/>
    </w:rPr>
  </w:style>
  <w:style w:type="paragraph" w:styleId="725">
    <w:name w:val="Heading 8"/>
    <w:basedOn w:val="885"/>
    <w:next w:val="885"/>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9"/>
    <w:link w:val="725"/>
    <w:uiPriority w:val="9"/>
    <w:rPr>
      <w:rFonts w:ascii="Arial" w:hAnsi="Arial" w:eastAsia="Arial" w:cs="Arial"/>
      <w:i/>
      <w:iCs/>
      <w:sz w:val="22"/>
      <w:szCs w:val="22"/>
    </w:rPr>
  </w:style>
  <w:style w:type="paragraph" w:styleId="727">
    <w:name w:val="Heading 9"/>
    <w:basedOn w:val="885"/>
    <w:next w:val="885"/>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9"/>
    <w:link w:val="727"/>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paragraph" w:styleId="730">
    <w:name w:val="Title"/>
    <w:basedOn w:val="885"/>
    <w:next w:val="885"/>
    <w:link w:val="731"/>
    <w:uiPriority w:val="10"/>
    <w:qFormat/>
    <w:pPr>
      <w:contextualSpacing/>
      <w:spacing w:before="300" w:after="200"/>
    </w:pPr>
    <w:rPr>
      <w:sz w:val="48"/>
      <w:szCs w:val="48"/>
    </w:rPr>
  </w:style>
  <w:style w:type="character" w:styleId="731">
    <w:name w:val="Title Char"/>
    <w:basedOn w:val="889"/>
    <w:link w:val="730"/>
    <w:uiPriority w:val="10"/>
    <w:rPr>
      <w:sz w:val="48"/>
      <w:szCs w:val="48"/>
    </w:rPr>
  </w:style>
  <w:style w:type="paragraph" w:styleId="732">
    <w:name w:val="Subtitle"/>
    <w:basedOn w:val="885"/>
    <w:next w:val="885"/>
    <w:link w:val="733"/>
    <w:uiPriority w:val="11"/>
    <w:qFormat/>
    <w:pPr>
      <w:spacing w:before="200" w:after="200"/>
    </w:pPr>
    <w:rPr>
      <w:sz w:val="24"/>
      <w:szCs w:val="24"/>
    </w:rPr>
  </w:style>
  <w:style w:type="character" w:styleId="733">
    <w:name w:val="Subtitle Char"/>
    <w:basedOn w:val="889"/>
    <w:link w:val="732"/>
    <w:uiPriority w:val="11"/>
    <w:rPr>
      <w:sz w:val="24"/>
      <w:szCs w:val="24"/>
    </w:rPr>
  </w:style>
  <w:style w:type="paragraph" w:styleId="734">
    <w:name w:val="Quote"/>
    <w:basedOn w:val="885"/>
    <w:next w:val="885"/>
    <w:link w:val="735"/>
    <w:uiPriority w:val="29"/>
    <w:qFormat/>
    <w:pPr>
      <w:ind w:left="720" w:right="720"/>
    </w:pPr>
    <w:rPr>
      <w:i/>
    </w:rPr>
  </w:style>
  <w:style w:type="character" w:styleId="735">
    <w:name w:val="Quote Char"/>
    <w:link w:val="734"/>
    <w:uiPriority w:val="29"/>
    <w:rPr>
      <w:i/>
    </w:rPr>
  </w:style>
  <w:style w:type="paragraph" w:styleId="736">
    <w:name w:val="Intense Quote"/>
    <w:basedOn w:val="885"/>
    <w:next w:val="885"/>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9"/>
    <w:link w:val="897"/>
    <w:uiPriority w:val="99"/>
  </w:style>
  <w:style w:type="character" w:styleId="739">
    <w:name w:val="Footer Char"/>
    <w:basedOn w:val="889"/>
    <w:link w:val="896"/>
    <w:uiPriority w:val="99"/>
  </w:style>
  <w:style w:type="paragraph" w:styleId="740">
    <w:name w:val="Caption"/>
    <w:basedOn w:val="885"/>
    <w:next w:val="885"/>
    <w:uiPriority w:val="35"/>
    <w:semiHidden/>
    <w:unhideWhenUsed/>
    <w:qFormat/>
    <w:pPr>
      <w:spacing w:line="276" w:lineRule="auto"/>
    </w:pPr>
    <w:rPr>
      <w:b/>
      <w:bCs/>
      <w:color w:val="4f81bd" w:themeColor="accent1"/>
      <w:sz w:val="18"/>
      <w:szCs w:val="18"/>
    </w:rPr>
  </w:style>
  <w:style w:type="character" w:styleId="741">
    <w:name w:val="Caption Char"/>
    <w:basedOn w:val="740"/>
    <w:link w:val="896"/>
    <w:uiPriority w:val="99"/>
  </w:style>
  <w:style w:type="table" w:styleId="742">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9"/>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9"/>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6">
    <w:name w:val="Heading 1"/>
    <w:basedOn w:val="885"/>
    <w:next w:val="885"/>
    <w:uiPriority w:val="0"/>
    <w:qFormat/>
    <w:pPr>
      <w:jc w:val="center"/>
      <w:keepLines/>
      <w:keepNext/>
      <w:spacing w:before="340" w:after="330" w:line="576" w:lineRule="auto"/>
      <w:outlineLvl w:val="0"/>
    </w:pPr>
    <w:rPr>
      <w:b/>
      <w:bCs/>
      <w:sz w:val="44"/>
      <w:szCs w:val="44"/>
    </w:rPr>
  </w:style>
  <w:style w:type="paragraph" w:styleId="887">
    <w:name w:val="Heading 2"/>
    <w:basedOn w:val="885"/>
    <w:next w:val="88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88">
    <w:name w:val="Heading 3"/>
    <w:basedOn w:val="885"/>
    <w:next w:val="885"/>
    <w:uiPriority w:val="0"/>
    <w:unhideWhenUsed/>
    <w:qFormat/>
    <w:pPr>
      <w:keepLines/>
      <w:keepNext/>
      <w:spacing w:before="260" w:beforeAutospacing="0" w:after="260" w:afterAutospacing="0" w:line="413" w:lineRule="auto"/>
      <w:outlineLvl w:val="2"/>
    </w:pPr>
    <w:rPr>
      <w:b/>
      <w:sz w:val="32"/>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annotation text"/>
    <w:basedOn w:val="885"/>
    <w:uiPriority w:val="0"/>
    <w:qFormat/>
    <w:pPr>
      <w:jc w:val="left"/>
    </w:pPr>
  </w:style>
  <w:style w:type="paragraph" w:styleId="892">
    <w:name w:val="Body Text"/>
    <w:basedOn w:val="885"/>
    <w:next w:val="885"/>
    <w:uiPriority w:val="0"/>
    <w:unhideWhenUsed/>
    <w:qFormat/>
    <w:pPr>
      <w:spacing w:after="120"/>
    </w:pPr>
    <w:rPr>
      <w:rFonts w:ascii="Calibri" w:hAnsi="Calibri"/>
      <w:szCs w:val="22"/>
    </w:rPr>
  </w:style>
  <w:style w:type="paragraph" w:styleId="893">
    <w:name w:val="Body Text Indent"/>
    <w:basedOn w:val="885"/>
    <w:uiPriority w:val="99"/>
    <w:qFormat/>
    <w:pPr>
      <w:ind w:firstLine="420"/>
    </w:pPr>
    <w:rPr>
      <w:sz w:val="24"/>
      <w:shd w:val="pct10" w:color="auto" w:fill="ffffff"/>
    </w:rPr>
  </w:style>
  <w:style w:type="paragraph" w:styleId="894">
    <w:name w:val="index 4"/>
    <w:basedOn w:val="885"/>
    <w:next w:val="885"/>
    <w:uiPriority w:val="99"/>
    <w:unhideWhenUsed/>
    <w:qFormat/>
    <w:pPr>
      <w:ind w:left="600"/>
      <w:spacing w:before="100" w:beforeAutospacing="1" w:after="100" w:afterAutospacing="1"/>
    </w:pPr>
    <w:rPr>
      <w:rFonts w:ascii="宋体"/>
      <w:b/>
      <w:bCs/>
      <w:position w:val="-10"/>
      <w:sz w:val="24"/>
      <w:szCs w:val="22"/>
    </w:rPr>
  </w:style>
  <w:style w:type="paragraph" w:styleId="895">
    <w:name w:val="Plain Text"/>
    <w:basedOn w:val="885"/>
    <w:uiPriority w:val="0"/>
    <w:unhideWhenUsed/>
    <w:qFormat/>
    <w:rPr>
      <w:rFonts w:ascii="宋体" w:hAnsi="Courier New" w:cs="Courier New"/>
      <w:szCs w:val="21"/>
    </w:rPr>
  </w:style>
  <w:style w:type="paragraph" w:styleId="896">
    <w:name w:val="Footer"/>
    <w:basedOn w:val="885"/>
    <w:link w:val="904"/>
    <w:uiPriority w:val="0"/>
    <w:qFormat/>
    <w:pPr>
      <w:jc w:val="left"/>
      <w:tabs>
        <w:tab w:val="center" w:pos="4153" w:leader="none"/>
        <w:tab w:val="right" w:pos="8306" w:leader="none"/>
      </w:tabs>
    </w:pPr>
    <w:rPr>
      <w:sz w:val="18"/>
      <w:szCs w:val="18"/>
    </w:rPr>
  </w:style>
  <w:style w:type="paragraph" w:styleId="897">
    <w:name w:val="Header"/>
    <w:basedOn w:val="885"/>
    <w:link w:val="903"/>
    <w:uiPriority w:val="0"/>
    <w:qFormat/>
    <w:pPr>
      <w:jc w:val="center"/>
      <w:tabs>
        <w:tab w:val="center" w:pos="4153" w:leader="none"/>
        <w:tab w:val="right" w:pos="8306" w:leader="none"/>
      </w:tabs>
      <w:pBdr>
        <w:bottom w:val="single" w:color="auto" w:sz="6" w:space="1"/>
      </w:pBdr>
    </w:pPr>
    <w:rPr>
      <w:sz w:val="18"/>
      <w:szCs w:val="18"/>
    </w:rPr>
  </w:style>
  <w:style w:type="paragraph" w:styleId="898">
    <w:name w:val="Normal (Web)"/>
    <w:basedOn w:val="885"/>
    <w:uiPriority w:val="0"/>
    <w:qFormat/>
    <w:pPr>
      <w:jc w:val="left"/>
      <w:spacing w:beforeAutospacing="1" w:afterAutospacing="1"/>
    </w:pPr>
    <w:rPr>
      <w:rFonts w:cs="Times New Roman"/>
      <w:sz w:val="24"/>
    </w:rPr>
  </w:style>
  <w:style w:type="paragraph" w:styleId="899">
    <w:name w:val="Body Text First Indent"/>
    <w:basedOn w:val="892"/>
    <w:uiPriority w:val="0"/>
    <w:qFormat/>
    <w:pPr>
      <w:ind w:firstLine="200"/>
      <w:spacing w:after="0" w:line="360" w:lineRule="auto"/>
    </w:pPr>
    <w:rPr>
      <w:rFonts w:ascii="仿宋_GB2312" w:hAnsi="Arial" w:eastAsia="仿宋_GB2312"/>
      <w:sz w:val="30"/>
      <w:szCs w:val="30"/>
    </w:rPr>
  </w:style>
  <w:style w:type="table" w:styleId="900">
    <w:name w:val="Table Grid"/>
    <w:basedOn w:val="890"/>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customStyle="1">
    <w:name w:val="目录 21"/>
    <w:basedOn w:val="885"/>
    <w:next w:val="885"/>
    <w:uiPriority w:val="0"/>
    <w:semiHidden/>
    <w:qFormat/>
    <w:pPr>
      <w:jc w:val="left"/>
    </w:pPr>
    <w:rPr>
      <w:rFonts w:ascii="宋体" w:hAnsi="宋体"/>
      <w:b/>
      <w:smallCaps/>
      <w:color w:val="000000"/>
      <w:szCs w:val="24"/>
      <w:u w:val="single"/>
    </w:rPr>
  </w:style>
  <w:style w:type="paragraph" w:styleId="902" w:customStyle="1">
    <w:name w:val="Default"/>
    <w:basedOn w:val="885"/>
    <w:uiPriority w:val="0"/>
    <w:semiHidden/>
    <w:qFormat/>
    <w:pPr>
      <w:jc w:val="left"/>
    </w:pPr>
    <w:rPr>
      <w:rFonts w:ascii="宋体" w:hAnsi="Calibri" w:cs="宋体"/>
      <w:color w:val="000000"/>
      <w:sz w:val="24"/>
    </w:rPr>
  </w:style>
  <w:style w:type="character" w:styleId="903" w:customStyle="1">
    <w:name w:val="页眉 Char"/>
    <w:basedOn w:val="889"/>
    <w:link w:val="897"/>
    <w:uiPriority w:val="0"/>
    <w:qFormat/>
    <w:rPr>
      <w:rFonts w:asciiTheme="minorHAnsi" w:hAnsiTheme="minorHAnsi" w:eastAsiaTheme="minorEastAsia" w:cstheme="minorBidi"/>
      <w:sz w:val="18"/>
      <w:szCs w:val="18"/>
    </w:rPr>
  </w:style>
  <w:style w:type="character" w:styleId="904" w:customStyle="1">
    <w:name w:val="页脚 Char"/>
    <w:basedOn w:val="889"/>
    <w:link w:val="896"/>
    <w:uiPriority w:val="0"/>
    <w:qFormat/>
    <w:rPr>
      <w:rFonts w:asciiTheme="minorHAnsi" w:hAnsiTheme="minorHAnsi" w:eastAsiaTheme="minorEastAsia" w:cstheme="minorBidi"/>
      <w:sz w:val="18"/>
      <w:szCs w:val="18"/>
    </w:rPr>
  </w:style>
  <w:style w:type="paragraph" w:styleId="9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6" w:customStyle="1">
    <w:name w:val="页脚1"/>
    <w:basedOn w:val="885"/>
    <w:uiPriority w:val="99"/>
    <w:unhideWhenUsed/>
    <w:qFormat/>
    <w:pPr>
      <w:jc w:val="left"/>
      <w:tabs>
        <w:tab w:val="center" w:pos="4153" w:leader="none"/>
        <w:tab w:val="right" w:pos="8306" w:leader="none"/>
      </w:tabs>
    </w:pPr>
    <w:rPr>
      <w:sz w:val="18"/>
      <w:szCs w:val="18"/>
    </w:rPr>
  </w:style>
  <w:style w:type="paragraph" w:styleId="907" w:customStyle="1">
    <w:name w:val="普通正文"/>
    <w:basedOn w:val="885"/>
    <w:uiPriority w:val="0"/>
    <w:qFormat/>
    <w:pPr>
      <w:ind w:firstLine="480"/>
      <w:jc w:val="left"/>
      <w:spacing w:before="120" w:after="120" w:line="360" w:lineRule="auto"/>
    </w:pPr>
    <w:rPr>
      <w:rFonts w:ascii="Arial" w:hAnsi="Arial" w:eastAsia="等线" w:cs="Arial"/>
      <w:sz w:val="24"/>
      <w:szCs w:val="24"/>
    </w:rPr>
  </w:style>
  <w:style w:type="paragraph" w:styleId="908" w:customStyle="1">
    <w:name w:val="正文首行缩进 21"/>
    <w:basedOn w:val="909"/>
    <w:uiPriority w:val="0"/>
    <w:qFormat/>
    <w:pPr>
      <w:ind w:firstLine="420"/>
    </w:pPr>
  </w:style>
  <w:style w:type="paragraph" w:styleId="909" w:customStyle="1">
    <w:name w:val="正文文本缩进1"/>
    <w:basedOn w:val="885"/>
    <w:uiPriority w:val="0"/>
    <w:qFormat/>
    <w:pPr>
      <w:ind w:left="420"/>
      <w:spacing w:after="120"/>
    </w:pPr>
  </w:style>
  <w:style w:type="paragraph" w:styleId="910" w:customStyle="1">
    <w:name w:val="普通(网站)1"/>
    <w:basedOn w:val="885"/>
    <w:uiPriority w:val="0"/>
    <w:qFormat/>
    <w:pPr>
      <w:jc w:val="left"/>
      <w:spacing w:before="100" w:beforeAutospacing="1" w:after="100" w:afterAutospacing="1"/>
      <w:widowControl/>
    </w:pPr>
    <w:rPr>
      <w:rFonts w:ascii="宋体" w:hAnsi="宋体" w:cs="宋体"/>
      <w:sz w:val="24"/>
      <w:szCs w:val="24"/>
    </w:rPr>
  </w:style>
  <w:style w:type="paragraph" w:styleId="911">
    <w:name w:val="List Paragraph"/>
    <w:basedOn w:val="885"/>
    <w:uiPriority w:val="34"/>
    <w:qFormat/>
    <w:pPr>
      <w:ind w:firstLine="420"/>
    </w:pPr>
  </w:style>
  <w:style w:type="paragraph" w:styleId="912" w:customStyle="1">
    <w:name w:val="列出段落1"/>
    <w:basedOn w:val="885"/>
    <w:uiPriority w:val="34"/>
    <w:qFormat/>
    <w:pPr>
      <w:ind w:firstLine="420"/>
    </w:pPr>
  </w:style>
  <w:style w:type="paragraph" w:styleId="913" w:customStyle="1">
    <w:name w:val="普通(网站)111"/>
    <w:basedOn w:val="885"/>
    <w:uiPriority w:val="0"/>
    <w:qFormat/>
    <w:pPr>
      <w:jc w:val="left"/>
      <w:spacing w:beforeAutospacing="1" w:afterAutospacing="1"/>
    </w:pPr>
    <w:rPr>
      <w:sz w:val="24"/>
    </w:rPr>
  </w:style>
  <w:style w:type="paragraph" w:styleId="914" w:customStyle="1">
    <w:name w:val="普通(网站)112"/>
    <w:basedOn w:val="885"/>
    <w:uiPriority w:val="0"/>
    <w:qFormat/>
    <w:pPr>
      <w:jc w:val="left"/>
      <w:spacing w:beforeAutospacing="1" w:afterAutospacing="1"/>
    </w:pPr>
    <w:rPr>
      <w:sz w:val="24"/>
    </w:rPr>
  </w:style>
  <w:style w:type="character" w:styleId="915" w:customStyle="1">
    <w:name w:val="font11"/>
    <w:basedOn w:val="889"/>
    <w:uiPriority w:val="0"/>
    <w:qFormat/>
    <w:rPr>
      <w:rFonts w:hint="eastAsia" w:ascii="宋体" w:hAnsi="宋体" w:eastAsia="宋体" w:cs="宋体"/>
      <w:b/>
      <w:bCs/>
      <w:color w:val="000000"/>
      <w:sz w:val="22"/>
      <w:szCs w:val="22"/>
      <w:u w:val="none"/>
    </w:rPr>
  </w:style>
  <w:style w:type="character" w:styleId="916" w:customStyle="1">
    <w:name w:val="font41"/>
    <w:basedOn w:val="889"/>
    <w:uiPriority w:val="0"/>
    <w:qFormat/>
    <w:rPr>
      <w:rFonts w:hint="eastAsia" w:ascii="宋体" w:hAnsi="宋体" w:eastAsia="宋体" w:cs="宋体"/>
      <w:color w:val="000000"/>
      <w:sz w:val="22"/>
      <w:szCs w:val="22"/>
      <w:u w:val="none"/>
    </w:rPr>
  </w:style>
  <w:style w:type="character" w:styleId="917" w:customStyle="1">
    <w:name w:val="font61"/>
    <w:basedOn w:val="889"/>
    <w:uiPriority w:val="0"/>
    <w:qFormat/>
    <w:rPr>
      <w:rFonts w:hint="eastAsia" w:ascii="宋体" w:hAnsi="宋体" w:eastAsia="宋体" w:cs="宋体"/>
      <w:color w:val="ff0000"/>
      <w:sz w:val="22"/>
      <w:szCs w:val="22"/>
      <w:u w:val="none"/>
    </w:rPr>
  </w:style>
  <w:style w:type="character" w:styleId="918" w:customStyle="1">
    <w:name w:val="font51"/>
    <w:basedOn w:val="889"/>
    <w:uiPriority w:val="0"/>
    <w:qFormat/>
    <w:rPr>
      <w:rFonts w:hint="default" w:ascii="Arial" w:hAnsi="Arial" w:cs="Arial"/>
      <w:color w:val="000000"/>
      <w:sz w:val="22"/>
      <w:szCs w:val="22"/>
      <w:u w:val="none"/>
    </w:rPr>
  </w:style>
  <w:style w:type="character" w:styleId="919" w:customStyle="1">
    <w:name w:val="font31"/>
    <w:basedOn w:val="889"/>
    <w:uiPriority w:val="0"/>
    <w:qFormat/>
    <w:rPr>
      <w:rFonts w:hint="default" w:ascii="Arial" w:hAnsi="Arial" w:cs="Arial"/>
      <w:color w:val="000000"/>
      <w:sz w:val="22"/>
      <w:szCs w:val="22"/>
      <w:u w:val="none"/>
    </w:rPr>
  </w:style>
  <w:style w:type="character" w:styleId="920" w:customStyle="1">
    <w:name w:val="font81"/>
    <w:basedOn w:val="889"/>
    <w:uiPriority w:val="0"/>
    <w:qFormat/>
    <w:rPr>
      <w:rFonts w:hint="default" w:ascii="Arial" w:hAnsi="Arial" w:cs="Arial"/>
      <w:color w:val="ff0000"/>
      <w:sz w:val="22"/>
      <w:szCs w:val="22"/>
      <w:u w:val="none"/>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蔡静</cp:lastModifiedBy>
  <cp:revision>121</cp:revision>
  <dcterms:created xsi:type="dcterms:W3CDTF">2014-10-29T12:08:00Z</dcterms:created>
  <dcterms:modified xsi:type="dcterms:W3CDTF">2025-12-03T08:38:24Z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3CFAE6007AA848BC880A9709B3F26693_13</vt:lpwstr>
  </property>
  <property fmtid="{D5CDD505-2E9C-101B-9397-08002B2CF9AE}" pid="4" name="KSOTemplateDocerSaveRecord">
    <vt:lpwstr>eyJoZGlkIjoiMzU1YTZkYmI0NWIzZTJkNzQyN2E4Zjg4NjRkYWExM2EiLCJ1c2VySWQiOiIxMTM5NjU5Njg2In0=</vt:lpwstr>
  </property>
</Properties>
</file>